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26" w:type="dxa"/>
        <w:tblCellMar>
          <w:left w:w="0" w:type="dxa"/>
          <w:right w:w="0" w:type="dxa"/>
        </w:tblCellMar>
        <w:tblLook w:val="04A0" w:firstRow="1" w:lastRow="0" w:firstColumn="1" w:lastColumn="0" w:noHBand="0" w:noVBand="1"/>
      </w:tblPr>
      <w:tblGrid>
        <w:gridCol w:w="9498"/>
      </w:tblGrid>
      <w:tr w:rsidR="004161F4" w14:paraId="0FB11D89" w14:textId="77777777" w:rsidTr="004161F4">
        <w:trPr>
          <w:trHeight w:val="2463"/>
        </w:trPr>
        <w:tc>
          <w:tcPr>
            <w:tcW w:w="9498" w:type="dxa"/>
            <w:shd w:val="clear" w:color="auto" w:fill="FFFFFF"/>
            <w:tcMar>
              <w:top w:w="0" w:type="dxa"/>
              <w:left w:w="567" w:type="dxa"/>
              <w:bottom w:w="0" w:type="dxa"/>
              <w:right w:w="567" w:type="dxa"/>
            </w:tcMar>
            <w:hideMark/>
          </w:tcPr>
          <w:p w14:paraId="46FDBFBA" w14:textId="32C5DF3A" w:rsidR="004161F4" w:rsidRDefault="004161F4">
            <w:pPr>
              <w:jc w:val="center"/>
              <w:rPr>
                <w:kern w:val="2"/>
                <w14:ligatures w14:val="standardContextual"/>
              </w:rPr>
            </w:pPr>
            <w:bookmarkStart w:id="0" w:name="_MailAutoSig"/>
            <w:r>
              <w:rPr>
                <w:noProof/>
                <w:color w:val="000000"/>
                <w:kern w:val="2"/>
                <w14:ligatures w14:val="standardContextual"/>
              </w:rPr>
              <w:drawing>
                <wp:inline distT="0" distB="0" distL="0" distR="0" wp14:anchorId="4999F18E" wp14:editId="15FD5580">
                  <wp:extent cx="5760720" cy="1158875"/>
                  <wp:effectExtent l="0" t="0" r="0" b="3175"/>
                  <wp:docPr id="2" name="Image 2" descr="Une image contenant texte, logo, capture d’écran, Police&#10;&#10;Description générée automatiquemen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 image contenant texte, logo, capture d’écran, Police&#10;&#10;Description générée automatiquement"/>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60720" cy="1158875"/>
                          </a:xfrm>
                          <a:prstGeom prst="rect">
                            <a:avLst/>
                          </a:prstGeom>
                          <a:noFill/>
                          <a:ln>
                            <a:noFill/>
                          </a:ln>
                        </pic:spPr>
                      </pic:pic>
                    </a:graphicData>
                  </a:graphic>
                </wp:inline>
              </w:drawing>
            </w:r>
          </w:p>
        </w:tc>
      </w:tr>
      <w:tr w:rsidR="004161F4" w14:paraId="1F5494AD" w14:textId="77777777" w:rsidTr="004161F4">
        <w:trPr>
          <w:trHeight w:val="1843"/>
        </w:trPr>
        <w:tc>
          <w:tcPr>
            <w:tcW w:w="9498" w:type="dxa"/>
            <w:shd w:val="clear" w:color="auto" w:fill="FFFFFF"/>
            <w:tcMar>
              <w:top w:w="0" w:type="dxa"/>
              <w:left w:w="567" w:type="dxa"/>
              <w:bottom w:w="0" w:type="dxa"/>
              <w:right w:w="567" w:type="dxa"/>
            </w:tcMar>
            <w:vAlign w:val="center"/>
            <w:hideMark/>
          </w:tcPr>
          <w:p w14:paraId="18C6D7E1" w14:textId="77777777" w:rsidR="004161F4" w:rsidRDefault="004161F4">
            <w:pPr>
              <w:jc w:val="center"/>
              <w:rPr>
                <w:rFonts w:ascii="Arial" w:hAnsi="Arial" w:cs="Arial"/>
                <w:b/>
                <w:bCs/>
                <w:color w:val="005DA8"/>
                <w:kern w:val="2"/>
                <w:sz w:val="28"/>
                <w:szCs w:val="28"/>
                <w14:ligatures w14:val="standardContextual"/>
              </w:rPr>
            </w:pPr>
            <w:r>
              <w:rPr>
                <w:rFonts w:ascii="Arial" w:hAnsi="Arial" w:cs="Arial"/>
                <w:b/>
                <w:bCs/>
                <w:color w:val="005DA8"/>
                <w:kern w:val="2"/>
                <w:sz w:val="28"/>
                <w:szCs w:val="28"/>
                <w14:ligatures w14:val="standardContextual"/>
              </w:rPr>
              <w:t xml:space="preserve">Le CSF et </w:t>
            </w:r>
            <w:proofErr w:type="spellStart"/>
            <w:r>
              <w:rPr>
                <w:rFonts w:ascii="Arial" w:hAnsi="Arial" w:cs="Arial"/>
                <w:b/>
                <w:bCs/>
                <w:color w:val="005DA8"/>
                <w:kern w:val="2"/>
                <w:sz w:val="28"/>
                <w:szCs w:val="28"/>
                <w14:ligatures w14:val="standardContextual"/>
              </w:rPr>
              <w:t>Créserfi</w:t>
            </w:r>
            <w:proofErr w:type="spellEnd"/>
            <w:r>
              <w:rPr>
                <w:rFonts w:ascii="Arial" w:hAnsi="Arial" w:cs="Arial"/>
                <w:b/>
                <w:bCs/>
                <w:color w:val="005DA8"/>
                <w:kern w:val="2"/>
                <w:sz w:val="28"/>
                <w:szCs w:val="28"/>
                <w14:ligatures w14:val="standardContextual"/>
              </w:rPr>
              <w:t>, sa société de financement, accompagnent chaque jour vos acquéreurs afin de leur faciliter l’accès à la propriété.</w:t>
            </w:r>
          </w:p>
        </w:tc>
      </w:tr>
      <w:tr w:rsidR="004161F4" w14:paraId="2F675DF5" w14:textId="77777777" w:rsidTr="004161F4">
        <w:trPr>
          <w:trHeight w:val="680"/>
        </w:trPr>
        <w:tc>
          <w:tcPr>
            <w:tcW w:w="9498" w:type="dxa"/>
            <w:shd w:val="clear" w:color="auto" w:fill="FBC103"/>
            <w:tcMar>
              <w:top w:w="0" w:type="dxa"/>
              <w:left w:w="567" w:type="dxa"/>
              <w:bottom w:w="0" w:type="dxa"/>
              <w:right w:w="567" w:type="dxa"/>
            </w:tcMar>
            <w:vAlign w:val="center"/>
            <w:hideMark/>
          </w:tcPr>
          <w:p w14:paraId="0AD884B2" w14:textId="77777777" w:rsidR="004161F4" w:rsidRDefault="004161F4">
            <w:pPr>
              <w:rPr>
                <w:rFonts w:ascii="Arial" w:hAnsi="Arial" w:cs="Arial"/>
                <w:b/>
                <w:bCs/>
                <w:color w:val="005DA8"/>
                <w:kern w:val="2"/>
                <w:sz w:val="32"/>
                <w:szCs w:val="32"/>
                <w14:ligatures w14:val="standardContextual"/>
              </w:rPr>
            </w:pPr>
            <w:r>
              <w:rPr>
                <w:rFonts w:ascii="Segoe UI Emoji" w:hAnsi="Segoe UI Emoji" w:cs="Segoe UI Emoji"/>
                <w:b/>
                <w:bCs/>
                <w:caps/>
                <w:color w:val="FFFFFF"/>
                <w:kern w:val="2"/>
                <w:sz w:val="32"/>
                <w:szCs w:val="32"/>
                <w14:ligatures w14:val="standardContextual"/>
              </w:rPr>
              <w:t>🌡</w:t>
            </w:r>
            <w:r>
              <w:rPr>
                <w:rFonts w:ascii="Segoe UI Emoji" w:hAnsi="Segoe UI Emoji"/>
                <w:b/>
                <w:bCs/>
                <w:caps/>
                <w:color w:val="FFFFFF"/>
                <w:kern w:val="2"/>
                <w:sz w:val="32"/>
                <w:szCs w:val="32"/>
                <w14:ligatures w14:val="standardContextual"/>
              </w:rPr>
              <w:t xml:space="preserve">️ LE BAROMÈTRE DES TAUX </w:t>
            </w:r>
          </w:p>
        </w:tc>
      </w:tr>
      <w:tr w:rsidR="004161F4" w14:paraId="2399D3FF" w14:textId="77777777" w:rsidTr="004161F4">
        <w:trPr>
          <w:trHeight w:val="2628"/>
        </w:trPr>
        <w:tc>
          <w:tcPr>
            <w:tcW w:w="9498" w:type="dxa"/>
            <w:shd w:val="clear" w:color="auto" w:fill="FFFFFF"/>
            <w:tcMar>
              <w:top w:w="0" w:type="dxa"/>
              <w:left w:w="567" w:type="dxa"/>
              <w:bottom w:w="0" w:type="dxa"/>
              <w:right w:w="567" w:type="dxa"/>
            </w:tcMar>
            <w:vAlign w:val="center"/>
          </w:tcPr>
          <w:p w14:paraId="2B8C49CF" w14:textId="77777777" w:rsidR="004161F4" w:rsidRDefault="004161F4">
            <w:pPr>
              <w:jc w:val="center"/>
              <w:rPr>
                <w:rFonts w:ascii="Arial" w:hAnsi="Arial" w:cs="Arial"/>
                <w:b/>
                <w:bCs/>
                <w:color w:val="005DA8"/>
                <w:kern w:val="2"/>
                <w:sz w:val="32"/>
                <w:szCs w:val="32"/>
                <w14:ligatures w14:val="standardContextual"/>
              </w:rPr>
            </w:pPr>
          </w:p>
          <w:p w14:paraId="3FF860D1" w14:textId="77777777" w:rsidR="004161F4" w:rsidRDefault="004161F4">
            <w:pPr>
              <w:jc w:val="center"/>
              <w:rPr>
                <w:rFonts w:ascii="Arial" w:hAnsi="Arial" w:cs="Arial"/>
                <w:b/>
                <w:bCs/>
                <w:color w:val="005DA8"/>
                <w:kern w:val="2"/>
                <w:sz w:val="32"/>
                <w:szCs w:val="32"/>
                <w14:ligatures w14:val="standardContextual"/>
              </w:rPr>
            </w:pPr>
            <w:r>
              <w:rPr>
                <w:rFonts w:ascii="Arial" w:hAnsi="Arial" w:cs="Arial"/>
                <w:b/>
                <w:bCs/>
                <w:color w:val="2F5597"/>
                <w:kern w:val="2"/>
                <w:sz w:val="44"/>
                <w:szCs w:val="44"/>
                <w14:ligatures w14:val="standardContextual"/>
              </w:rPr>
              <w:t xml:space="preserve">3,11%* </w:t>
            </w:r>
            <w:r>
              <w:rPr>
                <w:rFonts w:ascii="Arial" w:hAnsi="Arial" w:cs="Arial"/>
                <w:color w:val="000000"/>
                <w:kern w:val="2"/>
                <w:sz w:val="44"/>
                <w:szCs w:val="44"/>
                <w14:ligatures w14:val="standardContextual"/>
              </w:rPr>
              <w:t xml:space="preserve">sur 25 ans   </w:t>
            </w:r>
            <w:r>
              <w:rPr>
                <w:rFonts w:ascii="Arial" w:hAnsi="Arial" w:cs="Arial"/>
                <w:b/>
                <w:bCs/>
                <w:color w:val="FBC103"/>
                <w:kern w:val="2"/>
                <w:sz w:val="44"/>
                <w:szCs w:val="44"/>
                <w14:ligatures w14:val="standardContextual"/>
              </w:rPr>
              <w:t>|</w:t>
            </w:r>
            <w:r>
              <w:rPr>
                <w:rFonts w:ascii="Arial" w:hAnsi="Arial" w:cs="Arial"/>
                <w:b/>
                <w:bCs/>
                <w:color w:val="005DA8"/>
                <w:kern w:val="2"/>
                <w:sz w:val="44"/>
                <w:szCs w:val="44"/>
                <w14:ligatures w14:val="standardContextual"/>
              </w:rPr>
              <w:t xml:space="preserve">   </w:t>
            </w:r>
            <w:r>
              <w:rPr>
                <w:rFonts w:ascii="Arial" w:hAnsi="Arial" w:cs="Arial"/>
                <w:b/>
                <w:bCs/>
                <w:color w:val="2F5597"/>
                <w:kern w:val="2"/>
                <w:sz w:val="44"/>
                <w:szCs w:val="44"/>
                <w14:ligatures w14:val="standardContextual"/>
              </w:rPr>
              <w:t xml:space="preserve">3,05%* </w:t>
            </w:r>
            <w:r>
              <w:rPr>
                <w:rFonts w:ascii="Arial" w:hAnsi="Arial" w:cs="Arial"/>
                <w:color w:val="000000"/>
                <w:kern w:val="2"/>
                <w:sz w:val="44"/>
                <w:szCs w:val="44"/>
                <w14:ligatures w14:val="standardContextual"/>
              </w:rPr>
              <w:t xml:space="preserve">sur 20 ans   </w:t>
            </w:r>
            <w:r>
              <w:rPr>
                <w:rFonts w:ascii="Arial" w:hAnsi="Arial" w:cs="Arial"/>
                <w:b/>
                <w:bCs/>
                <w:color w:val="FBC103"/>
                <w:kern w:val="2"/>
                <w:sz w:val="44"/>
                <w:szCs w:val="44"/>
                <w14:ligatures w14:val="standardContextual"/>
              </w:rPr>
              <w:t>|</w:t>
            </w:r>
            <w:r>
              <w:rPr>
                <w:rFonts w:ascii="Arial" w:hAnsi="Arial" w:cs="Arial"/>
                <w:b/>
                <w:bCs/>
                <w:color w:val="005DA8"/>
                <w:kern w:val="2"/>
                <w:sz w:val="44"/>
                <w:szCs w:val="44"/>
                <w14:ligatures w14:val="standardContextual"/>
              </w:rPr>
              <w:t>   2</w:t>
            </w:r>
            <w:r>
              <w:rPr>
                <w:rFonts w:ascii="Arial" w:hAnsi="Arial" w:cs="Arial"/>
                <w:b/>
                <w:bCs/>
                <w:color w:val="2F5597"/>
                <w:kern w:val="2"/>
                <w:sz w:val="44"/>
                <w:szCs w:val="44"/>
                <w14:ligatures w14:val="standardContextual"/>
              </w:rPr>
              <w:t xml:space="preserve">,99%* </w:t>
            </w:r>
            <w:r>
              <w:rPr>
                <w:rFonts w:ascii="Arial" w:hAnsi="Arial" w:cs="Arial"/>
                <w:color w:val="000000"/>
                <w:kern w:val="2"/>
                <w:sz w:val="44"/>
                <w:szCs w:val="44"/>
                <w14:ligatures w14:val="standardContextual"/>
              </w:rPr>
              <w:t>sur 15 ans</w:t>
            </w:r>
          </w:p>
          <w:p w14:paraId="36A70ADE" w14:textId="77777777" w:rsidR="004161F4" w:rsidRDefault="004161F4">
            <w:pPr>
              <w:jc w:val="center"/>
              <w:rPr>
                <w:rFonts w:ascii="Arial" w:hAnsi="Arial" w:cs="Arial"/>
                <w:b/>
                <w:bCs/>
                <w:color w:val="005DA8"/>
                <w:kern w:val="2"/>
                <w:sz w:val="32"/>
                <w:szCs w:val="32"/>
                <w14:ligatures w14:val="standardContextual"/>
              </w:rPr>
            </w:pPr>
          </w:p>
          <w:p w14:paraId="4158B16D" w14:textId="77777777" w:rsidR="004161F4" w:rsidRDefault="004161F4">
            <w:pPr>
              <w:jc w:val="center"/>
              <w:rPr>
                <w:rFonts w:ascii="Arial" w:hAnsi="Arial" w:cs="Arial"/>
                <w:color w:val="000000"/>
                <w:kern w:val="2"/>
                <w:sz w:val="20"/>
                <w:szCs w:val="20"/>
                <w14:ligatures w14:val="standardContextual"/>
              </w:rPr>
            </w:pPr>
            <w:r>
              <w:rPr>
                <w:color w:val="000000"/>
                <w:kern w:val="2"/>
                <w14:ligatures w14:val="standardContextual"/>
              </w:rPr>
              <w:t xml:space="preserve">* </w:t>
            </w:r>
            <w:r>
              <w:rPr>
                <w:rStyle w:val="Accentuation"/>
                <w:color w:val="000000"/>
                <w:kern w:val="2"/>
                <w14:ligatures w14:val="standardContextual"/>
              </w:rPr>
              <w:t xml:space="preserve">taux moyens hors assurance et coût de sureté constatés en </w:t>
            </w:r>
            <w:r>
              <w:rPr>
                <w:rStyle w:val="Accentuation"/>
                <w:b/>
                <w:bCs/>
                <w:color w:val="000000"/>
                <w:kern w:val="2"/>
                <w14:ligatures w14:val="standardContextual"/>
              </w:rPr>
              <w:t>juillet 2025</w:t>
            </w:r>
            <w:r>
              <w:rPr>
                <w:rStyle w:val="Accentuation"/>
                <w:color w:val="000000"/>
                <w:kern w:val="2"/>
                <w14:ligatures w14:val="standardContextual"/>
              </w:rPr>
              <w:t xml:space="preserve"> par l’Observatoire de </w:t>
            </w:r>
            <w:r>
              <w:rPr>
                <w:rStyle w:val="Accentuation"/>
                <w:b/>
                <w:bCs/>
                <w:color w:val="000000"/>
                <w:kern w:val="2"/>
                <w14:ligatures w14:val="standardContextual"/>
              </w:rPr>
              <w:t>Crédit Logement/CSA</w:t>
            </w:r>
          </w:p>
          <w:p w14:paraId="029B8715" w14:textId="77777777" w:rsidR="004161F4" w:rsidRDefault="004161F4">
            <w:pPr>
              <w:ind w:left="1021" w:right="1021"/>
              <w:jc w:val="center"/>
              <w:rPr>
                <w:kern w:val="2"/>
                <w14:ligatures w14:val="standardContextual"/>
              </w:rPr>
            </w:pPr>
          </w:p>
        </w:tc>
      </w:tr>
      <w:tr w:rsidR="004161F4" w14:paraId="0112BD96" w14:textId="77777777" w:rsidTr="004161F4">
        <w:trPr>
          <w:trHeight w:val="680"/>
        </w:trPr>
        <w:tc>
          <w:tcPr>
            <w:tcW w:w="9498" w:type="dxa"/>
            <w:shd w:val="clear" w:color="auto" w:fill="005DA8"/>
            <w:tcMar>
              <w:top w:w="0" w:type="dxa"/>
              <w:left w:w="567" w:type="dxa"/>
              <w:bottom w:w="0" w:type="dxa"/>
              <w:right w:w="567" w:type="dxa"/>
            </w:tcMar>
            <w:vAlign w:val="center"/>
            <w:hideMark/>
          </w:tcPr>
          <w:p w14:paraId="5F66AD49" w14:textId="77777777" w:rsidR="004161F4" w:rsidRDefault="004161F4">
            <w:pPr>
              <w:rPr>
                <w:rFonts w:ascii="Arial" w:hAnsi="Arial" w:cs="Arial"/>
                <w:b/>
                <w:bCs/>
                <w:color w:val="005DA8"/>
                <w:kern w:val="2"/>
                <w:sz w:val="32"/>
                <w:szCs w:val="32"/>
                <w14:ligatures w14:val="standardContextual"/>
              </w:rPr>
            </w:pPr>
            <w:r>
              <w:rPr>
                <w:rFonts w:ascii="Segoe UI Emoji" w:hAnsi="Segoe UI Emoji"/>
                <w:b/>
                <w:bCs/>
                <w:caps/>
                <w:color w:val="FFFFFF"/>
                <w:kern w:val="2"/>
                <w:sz w:val="32"/>
                <w:szCs w:val="32"/>
                <w14:ligatures w14:val="standardContextual"/>
              </w:rPr>
              <w:t>✒️</w:t>
            </w:r>
            <w:r>
              <w:rPr>
                <w:rFonts w:ascii="Arial" w:hAnsi="Arial" w:cs="Arial"/>
                <w:b/>
                <w:bCs/>
                <w:caps/>
                <w:color w:val="FFFFFF"/>
                <w:kern w:val="2"/>
                <w:sz w:val="32"/>
                <w:szCs w:val="32"/>
                <w14:ligatures w14:val="standardContextual"/>
              </w:rPr>
              <w:t xml:space="preserve"> LE MOT DE LA DIRECTION</w:t>
            </w:r>
            <w:r>
              <w:rPr>
                <w:rFonts w:ascii="Arial" w:hAnsi="Arial" w:cs="Arial"/>
                <w:b/>
                <w:bCs/>
                <w:caps/>
                <w:color w:val="000000"/>
                <w:kern w:val="2"/>
                <w:sz w:val="32"/>
                <w:szCs w:val="32"/>
                <w14:ligatures w14:val="standardContextual"/>
              </w:rPr>
              <w:t xml:space="preserve"> </w:t>
            </w:r>
            <w:r>
              <w:rPr>
                <w:rFonts w:ascii="Arial" w:hAnsi="Arial" w:cs="Arial"/>
                <w:b/>
                <w:bCs/>
                <w:caps/>
                <w:color w:val="FFFFFF"/>
                <w:kern w:val="2"/>
                <w:sz w:val="32"/>
                <w:szCs w:val="32"/>
                <w14:ligatures w14:val="standardContextual"/>
              </w:rPr>
              <w:t>PRESCRIPTION</w:t>
            </w:r>
          </w:p>
        </w:tc>
      </w:tr>
      <w:tr w:rsidR="004161F4" w14:paraId="358AA8F5" w14:textId="77777777" w:rsidTr="004161F4">
        <w:trPr>
          <w:trHeight w:val="1781"/>
        </w:trPr>
        <w:tc>
          <w:tcPr>
            <w:tcW w:w="9498" w:type="dxa"/>
            <w:shd w:val="clear" w:color="auto" w:fill="FFFFFF"/>
            <w:tcMar>
              <w:top w:w="0" w:type="dxa"/>
              <w:left w:w="567" w:type="dxa"/>
              <w:bottom w:w="0" w:type="dxa"/>
              <w:right w:w="567" w:type="dxa"/>
            </w:tcMar>
          </w:tcPr>
          <w:p w14:paraId="46FFE4D4" w14:textId="77777777" w:rsidR="004161F4" w:rsidRDefault="004161F4">
            <w:pPr>
              <w:rPr>
                <w:color w:val="000000"/>
                <w:kern w:val="2"/>
                <w14:ligatures w14:val="standardContextual"/>
              </w:rPr>
            </w:pPr>
          </w:p>
          <w:p w14:paraId="61FA81D7" w14:textId="77777777" w:rsidR="004161F4" w:rsidRDefault="004161F4">
            <w:pPr>
              <w:rPr>
                <w:kern w:val="2"/>
                <w14:ligatures w14:val="standardContextual"/>
              </w:rPr>
            </w:pPr>
            <w:r>
              <w:rPr>
                <w:b/>
                <w:bCs/>
                <w:color w:val="5B9BD5"/>
                <w:kern w:val="2"/>
                <w:lang w:eastAsia="fr-FR"/>
                <w14:ligatures w14:val="standardContextual"/>
              </w:rPr>
              <w:t>Le marché du financement immobilier</w:t>
            </w:r>
            <w:r>
              <w:rPr>
                <w:color w:val="000000"/>
                <w:kern w:val="2"/>
                <w14:ligatures w14:val="standardContextual"/>
              </w:rPr>
              <w:t xml:space="preserve"> termine l’été 2025 avec des </w:t>
            </w:r>
            <w:r>
              <w:rPr>
                <w:b/>
                <w:bCs/>
                <w:color w:val="5B9BD5"/>
                <w:kern w:val="2"/>
                <w:lang w:eastAsia="fr-FR"/>
                <w14:ligatures w14:val="standardContextual"/>
              </w:rPr>
              <w:t>signaux résolument positifs.</w:t>
            </w:r>
            <w:r>
              <w:rPr>
                <w:color w:val="000000"/>
                <w:kern w:val="2"/>
                <w14:ligatures w14:val="standardContextual"/>
              </w:rPr>
              <w:t xml:space="preserve"> Après deux années marquées par une contraction historique de la production de prêts, nous observons un </w:t>
            </w:r>
            <w:r>
              <w:rPr>
                <w:b/>
                <w:bCs/>
                <w:color w:val="5B9BD5"/>
                <w:kern w:val="2"/>
                <w:lang w:eastAsia="fr-FR"/>
                <w14:ligatures w14:val="standardContextual"/>
              </w:rPr>
              <w:t>net rebond : +50 %</w:t>
            </w:r>
            <w:r>
              <w:rPr>
                <w:color w:val="000000"/>
                <w:kern w:val="2"/>
                <w14:ligatures w14:val="standardContextual"/>
              </w:rPr>
              <w:t xml:space="preserve"> de crédits octroyés </w:t>
            </w:r>
            <w:r>
              <w:rPr>
                <w:b/>
                <w:bCs/>
                <w:color w:val="5B9BD5"/>
                <w:kern w:val="2"/>
                <w:lang w:eastAsia="fr-FR"/>
                <w14:ligatures w14:val="standardContextual"/>
              </w:rPr>
              <w:t>sur les cinq premiers mois de l’année,</w:t>
            </w:r>
            <w:r>
              <w:rPr>
                <w:color w:val="000000"/>
                <w:kern w:val="2"/>
                <w14:ligatures w14:val="standardContextual"/>
              </w:rPr>
              <w:t xml:space="preserve"> selon la Banque de France. Cette reprise s’appuie sur une </w:t>
            </w:r>
            <w:r>
              <w:rPr>
                <w:b/>
                <w:bCs/>
                <w:color w:val="5B9BD5"/>
                <w:kern w:val="2"/>
                <w:lang w:eastAsia="fr-FR"/>
                <w14:ligatures w14:val="standardContextual"/>
              </w:rPr>
              <w:t>baisse notable des taux moyens et une stabilisation des prix de l’immobilier,</w:t>
            </w:r>
            <w:r>
              <w:rPr>
                <w:color w:val="000000"/>
                <w:kern w:val="2"/>
                <w14:ligatures w14:val="standardContextual"/>
              </w:rPr>
              <w:t xml:space="preserve"> offrant un </w:t>
            </w:r>
            <w:r>
              <w:rPr>
                <w:b/>
                <w:bCs/>
                <w:color w:val="5B9BD5"/>
                <w:kern w:val="2"/>
                <w:lang w:eastAsia="fr-FR"/>
                <w14:ligatures w14:val="standardContextual"/>
              </w:rPr>
              <w:t>terrain plus favorable aux acquéreurs comme aux investisseurs</w:t>
            </w:r>
            <w:r>
              <w:rPr>
                <w:color w:val="000000"/>
                <w:kern w:val="2"/>
                <w14:ligatures w14:val="standardContextual"/>
              </w:rPr>
              <w:t>.</w:t>
            </w:r>
          </w:p>
          <w:p w14:paraId="6253FED4" w14:textId="77777777" w:rsidR="004161F4" w:rsidRDefault="004161F4">
            <w:pPr>
              <w:rPr>
                <w:kern w:val="2"/>
                <w14:ligatures w14:val="standardContextual"/>
              </w:rPr>
            </w:pPr>
          </w:p>
          <w:p w14:paraId="4B63F02B" w14:textId="77777777" w:rsidR="004161F4" w:rsidRDefault="004161F4">
            <w:pPr>
              <w:rPr>
                <w:kern w:val="2"/>
                <w14:ligatures w14:val="standardContextual"/>
              </w:rPr>
            </w:pPr>
            <w:r>
              <w:rPr>
                <w:color w:val="000000"/>
                <w:kern w:val="2"/>
                <w14:ligatures w14:val="standardContextual"/>
              </w:rPr>
              <w:t xml:space="preserve">Dans ce contexte dynamique, </w:t>
            </w:r>
            <w:r>
              <w:rPr>
                <w:b/>
                <w:bCs/>
                <w:color w:val="5B9BD5"/>
                <w:kern w:val="2"/>
                <w:lang w:eastAsia="fr-FR"/>
                <w14:ligatures w14:val="standardContextual"/>
              </w:rPr>
              <w:t>l’innovation financière continue</w:t>
            </w:r>
            <w:r>
              <w:rPr>
                <w:color w:val="000000"/>
                <w:kern w:val="2"/>
                <w14:ligatures w14:val="standardContextual"/>
              </w:rPr>
              <w:t xml:space="preserve"> de transformer notre métier. L’arrivée du </w:t>
            </w:r>
            <w:r>
              <w:rPr>
                <w:b/>
                <w:bCs/>
                <w:color w:val="5B9BD5"/>
                <w:kern w:val="2"/>
                <w:lang w:eastAsia="fr-FR"/>
                <w14:ligatures w14:val="standardContextual"/>
              </w:rPr>
              <w:t xml:space="preserve">crédit lombard adossé aux </w:t>
            </w:r>
            <w:proofErr w:type="spellStart"/>
            <w:r>
              <w:rPr>
                <w:b/>
                <w:bCs/>
                <w:color w:val="5B9BD5"/>
                <w:kern w:val="2"/>
                <w:lang w:eastAsia="fr-FR"/>
                <w14:ligatures w14:val="standardContextual"/>
              </w:rPr>
              <w:t>crypto-actifs</w:t>
            </w:r>
            <w:proofErr w:type="spellEnd"/>
            <w:r>
              <w:rPr>
                <w:b/>
                <w:bCs/>
                <w:color w:val="5B9BD5"/>
                <w:kern w:val="2"/>
                <w:lang w:eastAsia="fr-FR"/>
                <w14:ligatures w14:val="standardContextual"/>
              </w:rPr>
              <w:t xml:space="preserve"> </w:t>
            </w:r>
            <w:r>
              <w:rPr>
                <w:color w:val="000000"/>
                <w:kern w:val="2"/>
                <w14:ligatures w14:val="standardContextual"/>
              </w:rPr>
              <w:t xml:space="preserve">illustre cette ouverture à de nouvelles formes de garanties, </w:t>
            </w:r>
            <w:r>
              <w:rPr>
                <w:b/>
                <w:bCs/>
                <w:color w:val="5B9BD5"/>
                <w:kern w:val="2"/>
                <w:lang w:eastAsia="fr-FR"/>
                <w14:ligatures w14:val="standardContextual"/>
              </w:rPr>
              <w:t>élargissant le champ des solutions de financement.</w:t>
            </w:r>
          </w:p>
          <w:p w14:paraId="540183B4" w14:textId="77777777" w:rsidR="004161F4" w:rsidRDefault="004161F4">
            <w:pPr>
              <w:rPr>
                <w:kern w:val="2"/>
                <w14:ligatures w14:val="standardContextual"/>
              </w:rPr>
            </w:pPr>
          </w:p>
          <w:p w14:paraId="59266150" w14:textId="77777777" w:rsidR="004161F4" w:rsidRDefault="004161F4">
            <w:pPr>
              <w:rPr>
                <w:b/>
                <w:bCs/>
                <w:color w:val="5B9BD5"/>
                <w:kern w:val="2"/>
                <w:lang w:eastAsia="fr-FR"/>
                <w14:ligatures w14:val="standardContextual"/>
              </w:rPr>
            </w:pPr>
            <w:r>
              <w:rPr>
                <w:color w:val="000000"/>
                <w:kern w:val="2"/>
                <w14:ligatures w14:val="standardContextual"/>
              </w:rPr>
              <w:t xml:space="preserve">Par ailleurs, </w:t>
            </w:r>
            <w:r>
              <w:rPr>
                <w:b/>
                <w:bCs/>
                <w:color w:val="5B9BD5"/>
                <w:kern w:val="2"/>
                <w:lang w:eastAsia="fr-FR"/>
                <w14:ligatures w14:val="standardContextual"/>
              </w:rPr>
              <w:t xml:space="preserve">la loi Lemoine </w:t>
            </w:r>
            <w:r>
              <w:rPr>
                <w:color w:val="000000"/>
                <w:kern w:val="2"/>
                <w14:ligatures w14:val="standardContextual"/>
              </w:rPr>
              <w:t xml:space="preserve">poursuit ses effets sur l’assurance emprunteur et </w:t>
            </w:r>
            <w:r>
              <w:rPr>
                <w:b/>
                <w:bCs/>
                <w:color w:val="5B9BD5"/>
                <w:kern w:val="2"/>
                <w:lang w:eastAsia="fr-FR"/>
                <w14:ligatures w14:val="standardContextual"/>
              </w:rPr>
              <w:t>permet d’optimiser le coût global des opérations.</w:t>
            </w:r>
          </w:p>
          <w:p w14:paraId="30701A7F" w14:textId="77777777" w:rsidR="004161F4" w:rsidRDefault="004161F4">
            <w:pPr>
              <w:rPr>
                <w:kern w:val="2"/>
                <w14:ligatures w14:val="standardContextual"/>
              </w:rPr>
            </w:pPr>
          </w:p>
          <w:p w14:paraId="57B54B35" w14:textId="77777777" w:rsidR="004161F4" w:rsidRDefault="004161F4">
            <w:pPr>
              <w:rPr>
                <w:b/>
                <w:bCs/>
                <w:color w:val="5B9BD5"/>
                <w:kern w:val="2"/>
                <w:lang w:eastAsia="fr-FR"/>
                <w14:ligatures w14:val="standardContextual"/>
              </w:rPr>
            </w:pPr>
            <w:r>
              <w:rPr>
                <w:color w:val="000000"/>
                <w:kern w:val="2"/>
                <w14:ligatures w14:val="standardContextual"/>
              </w:rPr>
              <w:t xml:space="preserve">Nous sommes convaincus que cette </w:t>
            </w:r>
            <w:r>
              <w:rPr>
                <w:b/>
                <w:bCs/>
                <w:color w:val="5B9BD5"/>
                <w:kern w:val="2"/>
                <w:lang w:eastAsia="fr-FR"/>
                <w14:ligatures w14:val="standardContextual"/>
              </w:rPr>
              <w:t>convergence entre reprise du marché, innovation et optimisation des coûts</w:t>
            </w:r>
            <w:r>
              <w:rPr>
                <w:color w:val="000000"/>
                <w:kern w:val="2"/>
                <w14:ligatures w14:val="standardContextual"/>
              </w:rPr>
              <w:t xml:space="preserve"> ouvre un cycle plus porteur pour l’ensemble des acteurs. Plus que jamais, </w:t>
            </w:r>
            <w:r>
              <w:rPr>
                <w:b/>
                <w:bCs/>
                <w:color w:val="5B9BD5"/>
                <w:kern w:val="2"/>
                <w:lang w:eastAsia="fr-FR"/>
                <w14:ligatures w14:val="standardContextual"/>
              </w:rPr>
              <w:t>notre mission reste de vous accompagner avec des solutions agiles, compétitives et sécurisées.</w:t>
            </w:r>
          </w:p>
          <w:p w14:paraId="61131E9F" w14:textId="77777777" w:rsidR="004161F4" w:rsidRDefault="004161F4">
            <w:pPr>
              <w:rPr>
                <w:color w:val="000000"/>
                <w:kern w:val="2"/>
                <w14:ligatures w14:val="standardContextual"/>
              </w:rPr>
            </w:pPr>
          </w:p>
        </w:tc>
      </w:tr>
      <w:tr w:rsidR="004161F4" w14:paraId="14E505A1" w14:textId="77777777" w:rsidTr="004161F4">
        <w:trPr>
          <w:trHeight w:val="680"/>
        </w:trPr>
        <w:tc>
          <w:tcPr>
            <w:tcW w:w="9498" w:type="dxa"/>
            <w:shd w:val="clear" w:color="auto" w:fill="E7442C"/>
            <w:tcMar>
              <w:top w:w="0" w:type="dxa"/>
              <w:left w:w="567" w:type="dxa"/>
              <w:bottom w:w="0" w:type="dxa"/>
              <w:right w:w="567" w:type="dxa"/>
            </w:tcMar>
            <w:vAlign w:val="center"/>
            <w:hideMark/>
          </w:tcPr>
          <w:p w14:paraId="238087C3" w14:textId="77777777" w:rsidR="004161F4" w:rsidRDefault="004161F4">
            <w:pPr>
              <w:rPr>
                <w:rFonts w:ascii="Arial" w:hAnsi="Arial" w:cs="Arial"/>
                <w:b/>
                <w:bCs/>
                <w:color w:val="005DA8"/>
                <w:kern w:val="2"/>
                <w:sz w:val="32"/>
                <w:szCs w:val="32"/>
                <w14:ligatures w14:val="standardContextual"/>
              </w:rPr>
            </w:pPr>
            <w:r>
              <w:rPr>
                <w:rFonts w:ascii="Segoe UI Emoji" w:hAnsi="Segoe UI Emoji" w:cs="Segoe UI Emoji"/>
                <w:color w:val="000000"/>
                <w:kern w:val="2"/>
                <w:sz w:val="32"/>
                <w:szCs w:val="32"/>
                <w14:ligatures w14:val="standardContextual"/>
              </w:rPr>
              <w:lastRenderedPageBreak/>
              <w:t>📈</w:t>
            </w:r>
            <w:r>
              <w:rPr>
                <w:rFonts w:ascii="Segoe UI Emoji" w:hAnsi="Segoe UI Emoji"/>
                <w:color w:val="000000"/>
                <w:kern w:val="2"/>
                <w:sz w:val="32"/>
                <w:szCs w:val="32"/>
                <w14:ligatures w14:val="standardContextual"/>
              </w:rPr>
              <w:t xml:space="preserve"> </w:t>
            </w:r>
            <w:r>
              <w:rPr>
                <w:rFonts w:ascii="Arial" w:hAnsi="Arial" w:cs="Arial"/>
                <w:b/>
                <w:bCs/>
                <w:caps/>
                <w:color w:val="FFFFFF"/>
                <w:kern w:val="2"/>
                <w:sz w:val="32"/>
                <w:szCs w:val="32"/>
                <w14:ligatures w14:val="standardContextual"/>
              </w:rPr>
              <w:t>LES TENDANCES DU MARCHÉ</w:t>
            </w:r>
          </w:p>
        </w:tc>
      </w:tr>
      <w:tr w:rsidR="004161F4" w14:paraId="6A60F730" w14:textId="77777777" w:rsidTr="004161F4">
        <w:trPr>
          <w:trHeight w:val="3775"/>
        </w:trPr>
        <w:tc>
          <w:tcPr>
            <w:tcW w:w="9498" w:type="dxa"/>
            <w:shd w:val="clear" w:color="auto" w:fill="FFFFFF"/>
            <w:tcMar>
              <w:top w:w="0" w:type="dxa"/>
              <w:left w:w="567" w:type="dxa"/>
              <w:bottom w:w="0" w:type="dxa"/>
              <w:right w:w="567" w:type="dxa"/>
            </w:tcMar>
          </w:tcPr>
          <w:p w14:paraId="3115B766" w14:textId="77777777" w:rsidR="004161F4" w:rsidRDefault="004161F4">
            <w:pPr>
              <w:rPr>
                <w:rFonts w:ascii="Arial" w:hAnsi="Arial" w:cs="Arial"/>
                <w:color w:val="000000"/>
                <w:kern w:val="2"/>
                <w:sz w:val="20"/>
                <w:szCs w:val="20"/>
                <w14:ligatures w14:val="standardContextual"/>
              </w:rPr>
            </w:pPr>
          </w:p>
          <w:p w14:paraId="29298997" w14:textId="77777777" w:rsidR="004161F4" w:rsidRDefault="004161F4" w:rsidP="00854511">
            <w:pPr>
              <w:pStyle w:val="Paragraphedeliste"/>
              <w:numPr>
                <w:ilvl w:val="0"/>
                <w:numId w:val="1"/>
              </w:numPr>
              <w:rPr>
                <w:rFonts w:ascii="Arial" w:eastAsia="Times New Roman" w:hAnsi="Arial" w:cs="Arial"/>
                <w:b/>
                <w:bCs/>
                <w:color w:val="005DA8"/>
                <w:kern w:val="2"/>
                <w:sz w:val="24"/>
                <w:szCs w:val="24"/>
                <w14:ligatures w14:val="standardContextual"/>
              </w:rPr>
            </w:pPr>
            <w:r>
              <w:rPr>
                <w:rFonts w:ascii="Arial" w:eastAsia="Times New Roman" w:hAnsi="Arial" w:cs="Arial"/>
                <w:b/>
                <w:bCs/>
                <w:color w:val="005DA8"/>
                <w:kern w:val="2"/>
                <w:sz w:val="24"/>
                <w:szCs w:val="24"/>
                <w14:ligatures w14:val="standardContextual"/>
              </w:rPr>
              <w:t xml:space="preserve">Crédit lombard adossé aux </w:t>
            </w:r>
            <w:proofErr w:type="spellStart"/>
            <w:r>
              <w:rPr>
                <w:rFonts w:ascii="Arial" w:eastAsia="Times New Roman" w:hAnsi="Arial" w:cs="Arial"/>
                <w:b/>
                <w:bCs/>
                <w:color w:val="005DA8"/>
                <w:kern w:val="2"/>
                <w:sz w:val="24"/>
                <w:szCs w:val="24"/>
                <w14:ligatures w14:val="standardContextual"/>
              </w:rPr>
              <w:t>crypto-actifs</w:t>
            </w:r>
            <w:proofErr w:type="spellEnd"/>
            <w:r>
              <w:rPr>
                <w:rFonts w:ascii="Arial" w:eastAsia="Times New Roman" w:hAnsi="Arial" w:cs="Arial"/>
                <w:b/>
                <w:bCs/>
                <w:color w:val="005DA8"/>
                <w:kern w:val="2"/>
                <w:sz w:val="24"/>
                <w:szCs w:val="24"/>
                <w14:ligatures w14:val="standardContextual"/>
              </w:rPr>
              <w:t xml:space="preserve"> : une nouvelle garantie pour accéder au crédit</w:t>
            </w:r>
          </w:p>
          <w:p w14:paraId="39902EE9" w14:textId="77777777" w:rsidR="004161F4" w:rsidRDefault="004161F4">
            <w:pPr>
              <w:ind w:left="360"/>
              <w:rPr>
                <w:rFonts w:ascii="Arial" w:hAnsi="Arial" w:cs="Arial"/>
                <w:b/>
                <w:bCs/>
                <w:color w:val="005DA8"/>
                <w:kern w:val="2"/>
                <w:sz w:val="24"/>
                <w:szCs w:val="24"/>
                <w14:ligatures w14:val="standardContextual"/>
              </w:rPr>
            </w:pPr>
            <w:r>
              <w:rPr>
                <w:b/>
                <w:bCs/>
                <w:color w:val="5B9BD5"/>
                <w:kern w:val="2"/>
                <w:lang w:eastAsia="fr-FR"/>
                <w14:ligatures w14:val="standardContextual"/>
              </w:rPr>
              <w:t>Depuis le 30 avril 2025,</w:t>
            </w:r>
            <w:r>
              <w:rPr>
                <w:color w:val="000000"/>
                <w:kern w:val="2"/>
                <w14:ligatures w14:val="standardContextual"/>
              </w:rPr>
              <w:t xml:space="preserve"> la France a encadré juridiquement le « nantissement » des </w:t>
            </w:r>
            <w:proofErr w:type="spellStart"/>
            <w:r>
              <w:rPr>
                <w:color w:val="000000"/>
                <w:kern w:val="2"/>
                <w14:ligatures w14:val="standardContextual"/>
              </w:rPr>
              <w:t>crypto-actifs</w:t>
            </w:r>
            <w:proofErr w:type="spellEnd"/>
            <w:r>
              <w:rPr>
                <w:color w:val="000000"/>
                <w:kern w:val="2"/>
                <w14:ligatures w14:val="standardContextual"/>
              </w:rPr>
              <w:t xml:space="preserve">. En d’autres termes, un crédit pourra désormais être octroyé en contrepartie de la portée en </w:t>
            </w:r>
            <w:r>
              <w:rPr>
                <w:b/>
                <w:bCs/>
                <w:color w:val="5B9BD5"/>
                <w:kern w:val="2"/>
                <w:lang w:eastAsia="fr-FR"/>
                <w14:ligatures w14:val="standardContextual"/>
              </w:rPr>
              <w:t>garantie d’actifs numériques,</w:t>
            </w:r>
            <w:r>
              <w:rPr>
                <w:color w:val="000000"/>
                <w:kern w:val="2"/>
                <w14:ligatures w14:val="standardContextual"/>
              </w:rPr>
              <w:t xml:space="preserve"> opération communément appelée, crédit lombard. Ce dispositif est innovant, mais nécessite vigilance : volatilité des cryptos et cadre fiscal encore incertain.</w:t>
            </w:r>
          </w:p>
          <w:p w14:paraId="6B647E4D" w14:textId="77777777" w:rsidR="004161F4" w:rsidRDefault="004161F4">
            <w:pPr>
              <w:ind w:left="360"/>
              <w:rPr>
                <w:b/>
                <w:bCs/>
                <w:i/>
                <w:iCs/>
                <w:color w:val="5B9BD5"/>
                <w:kern w:val="2"/>
                <w:lang w:eastAsia="fr-FR"/>
                <w14:ligatures w14:val="standardContextual"/>
              </w:rPr>
            </w:pPr>
            <w:r>
              <w:rPr>
                <w:b/>
                <w:bCs/>
                <w:i/>
                <w:iCs/>
                <w:color w:val="5B9BD5"/>
                <w:kern w:val="2"/>
                <w:lang w:eastAsia="fr-FR"/>
                <w14:ligatures w14:val="standardContextual"/>
              </w:rPr>
              <w:t xml:space="preserve">Source : Banque </w:t>
            </w:r>
            <w:proofErr w:type="spellStart"/>
            <w:r>
              <w:rPr>
                <w:b/>
                <w:bCs/>
                <w:i/>
                <w:iCs/>
                <w:color w:val="5B9BD5"/>
                <w:kern w:val="2"/>
                <w:lang w:eastAsia="fr-FR"/>
                <w14:ligatures w14:val="standardContextual"/>
              </w:rPr>
              <w:t>Delubac</w:t>
            </w:r>
            <w:proofErr w:type="spellEnd"/>
            <w:r>
              <w:rPr>
                <w:b/>
                <w:bCs/>
                <w:i/>
                <w:iCs/>
                <w:color w:val="5B9BD5"/>
                <w:kern w:val="2"/>
                <w:lang w:eastAsia="fr-FR"/>
                <w14:ligatures w14:val="standardContextual"/>
              </w:rPr>
              <w:t xml:space="preserve"> &amp; Cie – Crédit Lombard Crypto</w:t>
            </w:r>
          </w:p>
          <w:p w14:paraId="094E5220" w14:textId="77777777" w:rsidR="004161F4" w:rsidRDefault="004161F4">
            <w:pPr>
              <w:rPr>
                <w:rFonts w:ascii="Arial" w:hAnsi="Arial" w:cs="Arial"/>
                <w:b/>
                <w:bCs/>
                <w:color w:val="005DA8"/>
                <w:kern w:val="2"/>
                <w:sz w:val="24"/>
                <w:szCs w:val="24"/>
                <w14:ligatures w14:val="standardContextual"/>
              </w:rPr>
            </w:pPr>
          </w:p>
          <w:p w14:paraId="1CB15CBC" w14:textId="77777777" w:rsidR="004161F4" w:rsidRDefault="004161F4" w:rsidP="00854511">
            <w:pPr>
              <w:pStyle w:val="Paragraphedeliste"/>
              <w:numPr>
                <w:ilvl w:val="0"/>
                <w:numId w:val="1"/>
              </w:numPr>
              <w:rPr>
                <w:rFonts w:ascii="Arial" w:eastAsia="Times New Roman" w:hAnsi="Arial" w:cs="Arial"/>
                <w:b/>
                <w:bCs/>
                <w:color w:val="005DA8"/>
                <w:kern w:val="2"/>
                <w:sz w:val="24"/>
                <w:szCs w:val="24"/>
                <w14:ligatures w14:val="standardContextual"/>
              </w:rPr>
            </w:pPr>
            <w:r>
              <w:rPr>
                <w:rFonts w:ascii="Arial" w:eastAsia="Times New Roman" w:hAnsi="Arial" w:cs="Arial"/>
                <w:b/>
                <w:bCs/>
                <w:color w:val="005DA8"/>
                <w:kern w:val="2"/>
                <w:sz w:val="24"/>
                <w:szCs w:val="24"/>
                <w14:ligatures w14:val="standardContextual"/>
              </w:rPr>
              <w:t>Allongement des durées de prêt : une stratégie pour améliorer la solvabilité des emprunteurs</w:t>
            </w:r>
          </w:p>
          <w:p w14:paraId="5B3F5A3C" w14:textId="77777777" w:rsidR="004161F4" w:rsidRDefault="004161F4">
            <w:pPr>
              <w:ind w:left="360"/>
              <w:rPr>
                <w:kern w:val="2"/>
                <w14:ligatures w14:val="standardContextual"/>
              </w:rPr>
            </w:pPr>
            <w:r>
              <w:rPr>
                <w:b/>
                <w:bCs/>
                <w:color w:val="5B9BD5"/>
                <w:kern w:val="2"/>
                <w:lang w:eastAsia="fr-FR"/>
                <w14:ligatures w14:val="standardContextual"/>
              </w:rPr>
              <w:t>Sur les cinq premiers mois de 2025</w:t>
            </w:r>
            <w:r>
              <w:rPr>
                <w:color w:val="000000"/>
                <w:kern w:val="2"/>
                <w14:ligatures w14:val="standardContextual"/>
              </w:rPr>
              <w:t xml:space="preserve">, la production de crédits à l’habitat a </w:t>
            </w:r>
            <w:r>
              <w:rPr>
                <w:b/>
                <w:bCs/>
                <w:color w:val="5B9BD5"/>
                <w:kern w:val="2"/>
                <w:lang w:eastAsia="fr-FR"/>
                <w14:ligatures w14:val="standardContextual"/>
              </w:rPr>
              <w:t>bondi de 50 % comparé à la même période en 2024</w:t>
            </w:r>
            <w:r>
              <w:rPr>
                <w:color w:val="000000"/>
                <w:kern w:val="2"/>
                <w14:ligatures w14:val="standardContextual"/>
              </w:rPr>
              <w:t xml:space="preserve">, selon la Banque de France. Ce rebond s’explique par la </w:t>
            </w:r>
            <w:r>
              <w:rPr>
                <w:b/>
                <w:bCs/>
                <w:color w:val="5B9BD5"/>
                <w:kern w:val="2"/>
                <w:lang w:eastAsia="fr-FR"/>
                <w14:ligatures w14:val="standardContextual"/>
              </w:rPr>
              <w:t>baisse d’un point de pourcentage du coût des crédits</w:t>
            </w:r>
            <w:r>
              <w:rPr>
                <w:color w:val="000000"/>
                <w:kern w:val="2"/>
                <w14:ligatures w14:val="standardContextual"/>
              </w:rPr>
              <w:t xml:space="preserve">, la </w:t>
            </w:r>
            <w:r>
              <w:rPr>
                <w:b/>
                <w:bCs/>
                <w:color w:val="5B9BD5"/>
                <w:kern w:val="2"/>
                <w:lang w:eastAsia="fr-FR"/>
                <w14:ligatures w14:val="standardContextual"/>
              </w:rPr>
              <w:t>reprise des transactions</w:t>
            </w:r>
            <w:r>
              <w:rPr>
                <w:color w:val="000000"/>
                <w:kern w:val="2"/>
                <w14:ligatures w14:val="standardContextual"/>
              </w:rPr>
              <w:t xml:space="preserve"> immobilières et des prix plus contenus. Un signal fort pour les acteurs du secteur : </w:t>
            </w:r>
            <w:r>
              <w:rPr>
                <w:b/>
                <w:bCs/>
                <w:color w:val="5B9BD5"/>
                <w:kern w:val="2"/>
                <w:lang w:eastAsia="fr-FR"/>
                <w14:ligatures w14:val="standardContextual"/>
              </w:rPr>
              <w:t>le marché se réactive</w:t>
            </w:r>
            <w:r>
              <w:rPr>
                <w:color w:val="000000"/>
                <w:kern w:val="2"/>
                <w14:ligatures w14:val="standardContextual"/>
              </w:rPr>
              <w:t xml:space="preserve"> après une phase de ralentissement</w:t>
            </w:r>
          </w:p>
          <w:p w14:paraId="287583A5" w14:textId="77777777" w:rsidR="004161F4" w:rsidRDefault="004161F4">
            <w:pPr>
              <w:ind w:left="360"/>
              <w:rPr>
                <w:b/>
                <w:bCs/>
                <w:i/>
                <w:iCs/>
                <w:color w:val="5B9BD5"/>
                <w:kern w:val="2"/>
                <w:lang w:eastAsia="fr-FR"/>
                <w14:ligatures w14:val="standardContextual"/>
              </w:rPr>
            </w:pPr>
            <w:r>
              <w:rPr>
                <w:b/>
                <w:bCs/>
                <w:i/>
                <w:iCs/>
                <w:color w:val="5B9BD5"/>
                <w:kern w:val="2"/>
                <w:lang w:eastAsia="fr-FR"/>
                <w14:ligatures w14:val="standardContextual"/>
              </w:rPr>
              <w:t>Source : Banque de France – Panorama des prêts à l’Habitat (juillet 2025)</w:t>
            </w:r>
          </w:p>
          <w:p w14:paraId="3F480E3C" w14:textId="77777777" w:rsidR="004161F4" w:rsidRDefault="004161F4">
            <w:pPr>
              <w:rPr>
                <w:i/>
                <w:iCs/>
                <w:kern w:val="2"/>
                <w14:ligatures w14:val="standardContextual"/>
              </w:rPr>
            </w:pPr>
          </w:p>
          <w:p w14:paraId="4A56DD9A" w14:textId="77777777" w:rsidR="004161F4" w:rsidRDefault="004161F4" w:rsidP="00854511">
            <w:pPr>
              <w:pStyle w:val="Paragraphedeliste"/>
              <w:numPr>
                <w:ilvl w:val="0"/>
                <w:numId w:val="1"/>
              </w:numPr>
              <w:ind w:left="360"/>
              <w:rPr>
                <w:b/>
                <w:bCs/>
                <w:color w:val="5B9BD5"/>
                <w:kern w:val="2"/>
                <w:lang w:eastAsia="fr-FR"/>
                <w14:ligatures w14:val="standardContextual"/>
              </w:rPr>
            </w:pPr>
            <w:r>
              <w:rPr>
                <w:rFonts w:ascii="Arial" w:hAnsi="Arial" w:cs="Arial"/>
                <w:b/>
                <w:bCs/>
                <w:color w:val="005DA8"/>
                <w:kern w:val="2"/>
                <w:sz w:val="24"/>
                <w:szCs w:val="24"/>
                <w14:ligatures w14:val="standardContextual"/>
              </w:rPr>
              <w:t xml:space="preserve">Assurance emprunteur à des coûts historiquement bas grâce à la loi Lemoine </w:t>
            </w:r>
          </w:p>
          <w:p w14:paraId="01803391" w14:textId="77777777" w:rsidR="004161F4" w:rsidRDefault="004161F4">
            <w:pPr>
              <w:ind w:left="360"/>
              <w:rPr>
                <w:kern w:val="2"/>
                <w14:ligatures w14:val="standardContextual"/>
              </w:rPr>
            </w:pPr>
            <w:r>
              <w:rPr>
                <w:color w:val="000000"/>
                <w:kern w:val="2"/>
                <w14:ligatures w14:val="standardContextual"/>
              </w:rPr>
              <w:t xml:space="preserve">Depuis 2022, la </w:t>
            </w:r>
            <w:r>
              <w:rPr>
                <w:b/>
                <w:bCs/>
                <w:color w:val="5B9BD5"/>
                <w:kern w:val="2"/>
                <w:lang w:eastAsia="fr-FR"/>
                <w14:ligatures w14:val="standardContextual"/>
              </w:rPr>
              <w:t>loi Lemoine</w:t>
            </w:r>
            <w:r>
              <w:rPr>
                <w:color w:val="000000"/>
                <w:kern w:val="2"/>
                <w14:ligatures w14:val="standardContextual"/>
              </w:rPr>
              <w:t xml:space="preserve"> permet de changer d’assurance emprunteur à tout moment, sans frais ni contrainte. Résultat : les </w:t>
            </w:r>
            <w:r>
              <w:rPr>
                <w:b/>
                <w:bCs/>
                <w:color w:val="5B9BD5"/>
                <w:kern w:val="2"/>
                <w:lang w:eastAsia="fr-FR"/>
                <w14:ligatures w14:val="standardContextual"/>
              </w:rPr>
              <w:t>tarifs de l’assurance de prêt immobilier ont fortement diminué</w:t>
            </w:r>
            <w:r>
              <w:rPr>
                <w:color w:val="000000"/>
                <w:kern w:val="2"/>
                <w14:ligatures w14:val="standardContextual"/>
              </w:rPr>
              <w:t xml:space="preserve"> – à un niveau historique très bas en 2025. </w:t>
            </w:r>
            <w:r>
              <w:rPr>
                <w:b/>
                <w:bCs/>
                <w:color w:val="5B9BD5"/>
                <w:kern w:val="2"/>
                <w:lang w:eastAsia="fr-FR"/>
                <w14:ligatures w14:val="standardContextual"/>
              </w:rPr>
              <w:t>Une opportunité à mettre en avant pour les emprunteurs cherchant à réduire le coût global de leur crédit,</w:t>
            </w:r>
            <w:r>
              <w:rPr>
                <w:color w:val="000000"/>
                <w:kern w:val="2"/>
                <w14:ligatures w14:val="standardContextual"/>
              </w:rPr>
              <w:t xml:space="preserve"> notamment via la délégation d’assurance</w:t>
            </w:r>
          </w:p>
          <w:p w14:paraId="2E46F441" w14:textId="77777777" w:rsidR="004161F4" w:rsidRDefault="004161F4">
            <w:pPr>
              <w:ind w:left="360"/>
              <w:rPr>
                <w:b/>
                <w:bCs/>
                <w:i/>
                <w:iCs/>
                <w:color w:val="5B9BD5"/>
                <w:kern w:val="2"/>
                <w:lang w:eastAsia="fr-FR"/>
                <w14:ligatures w14:val="standardContextual"/>
              </w:rPr>
            </w:pPr>
            <w:r>
              <w:rPr>
                <w:b/>
                <w:bCs/>
                <w:i/>
                <w:iCs/>
                <w:color w:val="5B9BD5"/>
                <w:kern w:val="2"/>
                <w:lang w:eastAsia="fr-FR"/>
                <w14:ligatures w14:val="standardContextual"/>
              </w:rPr>
              <w:t>Source : Le Monde – Crédit Immobilier</w:t>
            </w:r>
          </w:p>
          <w:p w14:paraId="73152C64" w14:textId="77777777" w:rsidR="004161F4" w:rsidRDefault="004161F4">
            <w:pPr>
              <w:ind w:left="360"/>
              <w:rPr>
                <w:i/>
                <w:iCs/>
                <w:color w:val="000000"/>
                <w:kern w:val="2"/>
                <w:sz w:val="20"/>
                <w:szCs w:val="20"/>
                <w14:ligatures w14:val="standardContextual"/>
              </w:rPr>
            </w:pPr>
          </w:p>
          <w:p w14:paraId="0E54E850" w14:textId="77777777" w:rsidR="004161F4" w:rsidRDefault="004161F4">
            <w:pPr>
              <w:ind w:left="360"/>
              <w:rPr>
                <w:rFonts w:ascii="Arial" w:hAnsi="Arial" w:cs="Arial"/>
                <w:i/>
                <w:iCs/>
                <w:color w:val="000000"/>
                <w:kern w:val="2"/>
                <w:sz w:val="20"/>
                <w:szCs w:val="20"/>
                <w14:ligatures w14:val="standardContextual"/>
              </w:rPr>
            </w:pPr>
          </w:p>
        </w:tc>
      </w:tr>
      <w:tr w:rsidR="004161F4" w14:paraId="53782131" w14:textId="77777777" w:rsidTr="004161F4">
        <w:trPr>
          <w:trHeight w:val="680"/>
        </w:trPr>
        <w:tc>
          <w:tcPr>
            <w:tcW w:w="9498" w:type="dxa"/>
            <w:shd w:val="clear" w:color="auto" w:fill="FBC103"/>
            <w:tcMar>
              <w:top w:w="0" w:type="dxa"/>
              <w:left w:w="567" w:type="dxa"/>
              <w:bottom w:w="0" w:type="dxa"/>
              <w:right w:w="567" w:type="dxa"/>
            </w:tcMar>
            <w:vAlign w:val="center"/>
            <w:hideMark/>
          </w:tcPr>
          <w:p w14:paraId="24F7DA22" w14:textId="77777777" w:rsidR="004161F4" w:rsidRDefault="004161F4">
            <w:pPr>
              <w:rPr>
                <w:rFonts w:ascii="Arial" w:hAnsi="Arial" w:cs="Arial"/>
                <w:b/>
                <w:bCs/>
                <w:color w:val="005DA8"/>
                <w:kern w:val="2"/>
                <w:sz w:val="32"/>
                <w:szCs w:val="32"/>
                <w14:ligatures w14:val="standardContextual"/>
              </w:rPr>
            </w:pPr>
            <w:r>
              <w:rPr>
                <w:rFonts w:ascii="Segoe UI Emoji" w:hAnsi="Segoe UI Emoji" w:cs="Segoe UI Emoji"/>
                <w:b/>
                <w:bCs/>
                <w:caps/>
                <w:color w:val="FFFFFF"/>
                <w:kern w:val="2"/>
                <w:sz w:val="32"/>
                <w:szCs w:val="32"/>
                <w14:ligatures w14:val="standardContextual"/>
              </w:rPr>
              <w:t>🌤</w:t>
            </w:r>
            <w:r>
              <w:rPr>
                <w:rFonts w:ascii="Segoe UI Emoji" w:hAnsi="Segoe UI Emoji"/>
                <w:b/>
                <w:bCs/>
                <w:caps/>
                <w:color w:val="FFFFFF"/>
                <w:kern w:val="2"/>
                <w:sz w:val="32"/>
                <w:szCs w:val="32"/>
                <w14:ligatures w14:val="standardContextual"/>
              </w:rPr>
              <w:t>️</w:t>
            </w:r>
            <w:r>
              <w:rPr>
                <w:rFonts w:ascii="Arial" w:hAnsi="Arial" w:cs="Arial"/>
                <w:b/>
                <w:bCs/>
                <w:caps/>
                <w:color w:val="FFFFFF"/>
                <w:kern w:val="2"/>
                <w:sz w:val="32"/>
                <w:szCs w:val="32"/>
                <w14:ligatures w14:val="standardContextual"/>
              </w:rPr>
              <w:t xml:space="preserve"> ACTUALITÉS Groupe CSF, LES OFFRES DU MOMENT</w:t>
            </w:r>
          </w:p>
        </w:tc>
      </w:tr>
      <w:tr w:rsidR="004161F4" w14:paraId="6B49A964" w14:textId="77777777" w:rsidTr="004161F4">
        <w:trPr>
          <w:trHeight w:val="2057"/>
        </w:trPr>
        <w:tc>
          <w:tcPr>
            <w:tcW w:w="9498" w:type="dxa"/>
            <w:shd w:val="clear" w:color="auto" w:fill="FFFFFF"/>
            <w:tcMar>
              <w:top w:w="0" w:type="dxa"/>
              <w:left w:w="567" w:type="dxa"/>
              <w:bottom w:w="0" w:type="dxa"/>
              <w:right w:w="567" w:type="dxa"/>
            </w:tcMar>
          </w:tcPr>
          <w:p w14:paraId="429E42A5" w14:textId="77777777" w:rsidR="004161F4" w:rsidRDefault="004161F4">
            <w:pPr>
              <w:rPr>
                <w:rFonts w:ascii="Arial" w:hAnsi="Arial" w:cs="Arial"/>
                <w:color w:val="000000"/>
                <w:kern w:val="2"/>
                <w:sz w:val="20"/>
                <w:szCs w:val="20"/>
                <w14:ligatures w14:val="standardContextual"/>
              </w:rPr>
            </w:pPr>
          </w:p>
          <w:p w14:paraId="4C6F98B8" w14:textId="77777777" w:rsidR="004161F4" w:rsidRDefault="004161F4">
            <w:pPr>
              <w:autoSpaceDE w:val="0"/>
              <w:autoSpaceDN w:val="0"/>
              <w:rPr>
                <w:rFonts w:ascii="Arial" w:hAnsi="Arial" w:cs="Arial"/>
                <w:b/>
                <w:bCs/>
                <w:color w:val="FFC000"/>
                <w:kern w:val="2"/>
                <w:sz w:val="24"/>
                <w:szCs w:val="24"/>
                <w14:ligatures w14:val="standardContextual"/>
              </w:rPr>
            </w:pPr>
            <w:r>
              <w:rPr>
                <w:rFonts w:ascii="Arial" w:hAnsi="Arial" w:cs="Arial"/>
                <w:b/>
                <w:bCs/>
                <w:color w:val="005DA8"/>
                <w:kern w:val="2"/>
                <w:sz w:val="24"/>
                <w:szCs w:val="24"/>
                <w14:ligatures w14:val="standardContextual"/>
              </w:rPr>
              <w:t>A l'occasion de ses 70 ans,</w:t>
            </w:r>
            <w:r>
              <w:rPr>
                <w:rFonts w:ascii="Adobe Clean DC" w:hAnsi="Adobe Clean DC"/>
                <w:color w:val="000000"/>
                <w:kern w:val="2"/>
                <w:sz w:val="20"/>
                <w:szCs w:val="20"/>
                <w14:ligatures w14:val="standardContextual"/>
              </w:rPr>
              <w:t xml:space="preserve"> </w:t>
            </w:r>
            <w:r>
              <w:rPr>
                <w:rFonts w:ascii="Arial" w:hAnsi="Arial" w:cs="Arial"/>
                <w:b/>
                <w:bCs/>
                <w:color w:val="FFC000"/>
                <w:kern w:val="2"/>
                <w:sz w:val="24"/>
                <w:szCs w:val="24"/>
                <w14:ligatures w14:val="standardContextual"/>
              </w:rPr>
              <w:t>l’Association CSF vous offre 700 € pour votre projet immobilier</w:t>
            </w:r>
            <w:r>
              <w:rPr>
                <w:rFonts w:ascii="Arial" w:hAnsi="Arial" w:cs="Arial"/>
                <w:b/>
                <w:bCs/>
                <w:color w:val="005DA8"/>
                <w:kern w:val="2"/>
                <w:sz w:val="24"/>
                <w:szCs w:val="24"/>
                <w14:ligatures w14:val="standardContextual"/>
              </w:rPr>
              <w:t xml:space="preserve"> pour toute souscription d’un prêt principal d’au moins 100 000 € </w:t>
            </w:r>
            <w:r>
              <w:rPr>
                <w:rFonts w:ascii="Arial" w:hAnsi="Arial" w:cs="Arial"/>
                <w:b/>
                <w:bCs/>
                <w:color w:val="FFC000"/>
                <w:kern w:val="2"/>
                <w:sz w:val="24"/>
                <w:szCs w:val="24"/>
                <w14:ligatures w14:val="standardContextual"/>
              </w:rPr>
              <w:t>par l’intermédiaire de CRÉSERFI</w:t>
            </w:r>
            <w:r>
              <w:rPr>
                <w:rFonts w:ascii="Arial" w:hAnsi="Arial" w:cs="Arial"/>
                <w:b/>
                <w:bCs/>
                <w:color w:val="005DA8"/>
                <w:kern w:val="2"/>
                <w:sz w:val="24"/>
                <w:szCs w:val="24"/>
                <w14:ligatures w14:val="standardContextual"/>
              </w:rPr>
              <w:t xml:space="preserve"> pour le financement de </w:t>
            </w:r>
            <w:r>
              <w:rPr>
                <w:rFonts w:ascii="Arial" w:hAnsi="Arial" w:cs="Arial"/>
                <w:b/>
                <w:bCs/>
                <w:color w:val="FFC000"/>
                <w:kern w:val="2"/>
                <w:sz w:val="24"/>
                <w:szCs w:val="24"/>
                <w14:ligatures w14:val="standardContextual"/>
              </w:rPr>
              <w:t xml:space="preserve">l’acquisition d’un bien immobilier. </w:t>
            </w:r>
          </w:p>
          <w:p w14:paraId="7042B072" w14:textId="77777777" w:rsidR="004161F4" w:rsidRDefault="004161F4">
            <w:pPr>
              <w:rPr>
                <w:rFonts w:ascii="Arial" w:hAnsi="Arial" w:cs="Arial"/>
                <w:b/>
                <w:bCs/>
                <w:color w:val="005DA8"/>
                <w:kern w:val="2"/>
                <w:sz w:val="24"/>
                <w:szCs w:val="24"/>
                <w14:ligatures w14:val="standardContextual"/>
              </w:rPr>
            </w:pPr>
            <w:r>
              <w:rPr>
                <w:rFonts w:ascii="Arial" w:hAnsi="Arial" w:cs="Arial"/>
                <w:b/>
                <w:bCs/>
                <w:color w:val="005DA8"/>
                <w:kern w:val="2"/>
                <w:sz w:val="24"/>
                <w:szCs w:val="24"/>
                <w14:ligatures w14:val="standardContextual"/>
              </w:rPr>
              <w:t>Offre soumise à conditions et réservée aux adhérents du CSF*</w:t>
            </w:r>
          </w:p>
          <w:p w14:paraId="4977EAF1" w14:textId="77777777" w:rsidR="004161F4" w:rsidRDefault="004161F4">
            <w:pPr>
              <w:rPr>
                <w:kern w:val="2"/>
                <w14:ligatures w14:val="standardContextual"/>
              </w:rPr>
            </w:pPr>
          </w:p>
          <w:p w14:paraId="187CFE30" w14:textId="77777777" w:rsidR="004161F4" w:rsidRDefault="004161F4">
            <w:pPr>
              <w:rPr>
                <w:color w:val="000000"/>
                <w:kern w:val="2"/>
                <w14:ligatures w14:val="standardContextual"/>
              </w:rPr>
            </w:pPr>
            <w:r>
              <w:rPr>
                <w:b/>
                <w:bCs/>
                <w:color w:val="5B9BD5"/>
                <w:kern w:val="2"/>
                <w14:ligatures w14:val="standardContextual"/>
              </w:rPr>
              <w:t xml:space="preserve">D’autres offres sont disponibles tout au long de l’année ! </w:t>
            </w:r>
            <w:r>
              <w:rPr>
                <w:color w:val="000000"/>
                <w:kern w:val="2"/>
                <w14:ligatures w14:val="standardContextual"/>
              </w:rPr>
              <w:t xml:space="preserve">Pour en savoir plus, prenez contact avec le Directeur d’agence locale avec qui vous êtes en lien. </w:t>
            </w:r>
          </w:p>
          <w:p w14:paraId="0E303ABA" w14:textId="77777777" w:rsidR="004161F4" w:rsidRDefault="004161F4">
            <w:pPr>
              <w:rPr>
                <w:kern w:val="2"/>
                <w14:ligatures w14:val="standardContextual"/>
              </w:rPr>
            </w:pPr>
          </w:p>
        </w:tc>
      </w:tr>
      <w:tr w:rsidR="004161F4" w14:paraId="4D68FCF4" w14:textId="77777777" w:rsidTr="004161F4">
        <w:trPr>
          <w:trHeight w:val="680"/>
        </w:trPr>
        <w:tc>
          <w:tcPr>
            <w:tcW w:w="9498" w:type="dxa"/>
            <w:shd w:val="clear" w:color="auto" w:fill="005DA8"/>
            <w:tcMar>
              <w:top w:w="0" w:type="dxa"/>
              <w:left w:w="567" w:type="dxa"/>
              <w:bottom w:w="0" w:type="dxa"/>
              <w:right w:w="567" w:type="dxa"/>
            </w:tcMar>
            <w:vAlign w:val="center"/>
            <w:hideMark/>
          </w:tcPr>
          <w:p w14:paraId="03F44789" w14:textId="77777777" w:rsidR="004161F4" w:rsidRDefault="004161F4">
            <w:pPr>
              <w:rPr>
                <w:rFonts w:ascii="Arial" w:hAnsi="Arial" w:cs="Arial"/>
                <w:b/>
                <w:bCs/>
                <w:color w:val="005DA8"/>
                <w:kern w:val="2"/>
                <w:sz w:val="32"/>
                <w:szCs w:val="32"/>
                <w14:ligatures w14:val="standardContextual"/>
              </w:rPr>
            </w:pPr>
            <w:r>
              <w:rPr>
                <w:rFonts w:ascii="Segoe UI Emoji" w:hAnsi="Segoe UI Emoji"/>
                <w:color w:val="000000"/>
                <w:kern w:val="2"/>
                <w:sz w:val="32"/>
                <w:szCs w:val="32"/>
                <w14:ligatures w14:val="standardContextual"/>
              </w:rPr>
              <w:t>⭐</w:t>
            </w:r>
            <w:r>
              <w:rPr>
                <w:rFonts w:ascii="Arial" w:hAnsi="Arial" w:cs="Arial"/>
                <w:b/>
                <w:bCs/>
                <w:color w:val="2F5597"/>
                <w:kern w:val="2"/>
                <w:sz w:val="32"/>
                <w:szCs w:val="32"/>
                <w14:ligatures w14:val="standardContextual"/>
              </w:rPr>
              <w:t xml:space="preserve"> </w:t>
            </w:r>
            <w:r>
              <w:rPr>
                <w:rFonts w:ascii="Arial" w:hAnsi="Arial" w:cs="Arial"/>
                <w:b/>
                <w:bCs/>
                <w:caps/>
                <w:color w:val="FFFFFF"/>
                <w:kern w:val="2"/>
                <w:sz w:val="32"/>
                <w:szCs w:val="32"/>
                <w14:ligatures w14:val="standardContextual"/>
              </w:rPr>
              <w:t>pourquoi choisir le Groupe csf ?</w:t>
            </w:r>
            <w:r>
              <w:rPr>
                <w:rFonts w:ascii="Arial" w:hAnsi="Arial" w:cs="Arial"/>
                <w:b/>
                <w:bCs/>
                <w:color w:val="005DA8"/>
                <w:kern w:val="2"/>
                <w:sz w:val="32"/>
                <w:szCs w:val="32"/>
                <w14:ligatures w14:val="standardContextual"/>
              </w:rPr>
              <w:t xml:space="preserve"> </w:t>
            </w:r>
          </w:p>
        </w:tc>
      </w:tr>
      <w:tr w:rsidR="004161F4" w14:paraId="77635F1B" w14:textId="77777777" w:rsidTr="004161F4">
        <w:trPr>
          <w:trHeight w:val="3104"/>
        </w:trPr>
        <w:tc>
          <w:tcPr>
            <w:tcW w:w="9498" w:type="dxa"/>
            <w:shd w:val="clear" w:color="auto" w:fill="FFFFFF"/>
            <w:tcMar>
              <w:top w:w="0" w:type="dxa"/>
              <w:left w:w="567" w:type="dxa"/>
              <w:bottom w:w="0" w:type="dxa"/>
              <w:right w:w="567" w:type="dxa"/>
            </w:tcMar>
            <w:vAlign w:val="center"/>
            <w:hideMark/>
          </w:tcPr>
          <w:p w14:paraId="4FBD0098" w14:textId="77777777" w:rsidR="004161F4" w:rsidRDefault="004161F4" w:rsidP="00854511">
            <w:pPr>
              <w:pStyle w:val="Paragraphedeliste"/>
              <w:numPr>
                <w:ilvl w:val="0"/>
                <w:numId w:val="2"/>
              </w:numPr>
              <w:rPr>
                <w:rFonts w:ascii="Arial" w:eastAsia="Times New Roman" w:hAnsi="Arial" w:cs="Arial"/>
                <w:b/>
                <w:bCs/>
                <w:color w:val="005DA8"/>
                <w:kern w:val="2"/>
                <w:sz w:val="24"/>
                <w:szCs w:val="24"/>
                <w14:ligatures w14:val="standardContextual"/>
              </w:rPr>
            </w:pPr>
            <w:r>
              <w:rPr>
                <w:rFonts w:ascii="Arial" w:eastAsia="Times New Roman" w:hAnsi="Arial" w:cs="Arial"/>
                <w:b/>
                <w:bCs/>
                <w:color w:val="005DA8"/>
                <w:kern w:val="2"/>
                <w:sz w:val="24"/>
                <w:szCs w:val="24"/>
                <w14:ligatures w14:val="standardContextual"/>
              </w:rPr>
              <w:lastRenderedPageBreak/>
              <w:t>Un</w:t>
            </w:r>
            <w:r>
              <w:rPr>
                <w:rFonts w:ascii="Arial" w:eastAsia="Times New Roman" w:hAnsi="Arial" w:cs="Arial"/>
                <w:b/>
                <w:bCs/>
                <w:color w:val="000000"/>
                <w:kern w:val="2"/>
                <w:sz w:val="24"/>
                <w:szCs w:val="24"/>
                <w14:ligatures w14:val="standardContextual"/>
              </w:rPr>
              <w:t xml:space="preserve"> </w:t>
            </w:r>
            <w:r>
              <w:rPr>
                <w:rFonts w:ascii="Arial" w:eastAsia="Times New Roman" w:hAnsi="Arial" w:cs="Arial"/>
                <w:b/>
                <w:bCs/>
                <w:color w:val="005DA8"/>
                <w:kern w:val="2"/>
                <w:sz w:val="24"/>
                <w:szCs w:val="24"/>
                <w14:ligatures w14:val="standardContextual"/>
              </w:rPr>
              <w:t>grand nombre de</w:t>
            </w:r>
            <w:r>
              <w:rPr>
                <w:rFonts w:ascii="Arial" w:eastAsia="Times New Roman" w:hAnsi="Arial" w:cs="Arial"/>
                <w:b/>
                <w:bCs/>
                <w:color w:val="000000"/>
                <w:kern w:val="2"/>
                <w:sz w:val="24"/>
                <w:szCs w:val="24"/>
                <w14:ligatures w14:val="standardContextual"/>
              </w:rPr>
              <w:t xml:space="preserve"> </w:t>
            </w:r>
            <w:r>
              <w:rPr>
                <w:rFonts w:ascii="Arial" w:eastAsia="Times New Roman" w:hAnsi="Arial" w:cs="Arial"/>
                <w:b/>
                <w:bCs/>
                <w:color w:val="FBC103"/>
                <w:kern w:val="2"/>
                <w:sz w:val="24"/>
                <w:szCs w:val="24"/>
                <w14:ligatures w14:val="standardContextual"/>
              </w:rPr>
              <w:t>prêts bonifiés</w:t>
            </w:r>
            <w:r>
              <w:rPr>
                <w:rFonts w:ascii="Arial" w:eastAsia="Times New Roman" w:hAnsi="Arial" w:cs="Arial"/>
                <w:b/>
                <w:bCs/>
                <w:color w:val="005DA8"/>
                <w:kern w:val="2"/>
                <w:sz w:val="24"/>
                <w:szCs w:val="24"/>
                <w14:ligatures w14:val="standardContextual"/>
              </w:rPr>
              <w:t xml:space="preserve"> accessibles par notre intermédiaire </w:t>
            </w:r>
          </w:p>
          <w:p w14:paraId="20CCACE6" w14:textId="77777777" w:rsidR="004161F4" w:rsidRDefault="004161F4" w:rsidP="00854511">
            <w:pPr>
              <w:pStyle w:val="Paragraphedeliste"/>
              <w:numPr>
                <w:ilvl w:val="0"/>
                <w:numId w:val="2"/>
              </w:numPr>
              <w:rPr>
                <w:rFonts w:ascii="Arial" w:eastAsia="Times New Roman" w:hAnsi="Arial" w:cs="Arial"/>
                <w:b/>
                <w:bCs/>
                <w:color w:val="005DA8"/>
                <w:kern w:val="2"/>
                <w:sz w:val="24"/>
                <w:szCs w:val="24"/>
                <w14:ligatures w14:val="standardContextual"/>
              </w:rPr>
            </w:pPr>
            <w:r>
              <w:rPr>
                <w:rFonts w:ascii="Arial" w:eastAsia="Times New Roman" w:hAnsi="Arial" w:cs="Arial"/>
                <w:b/>
                <w:bCs/>
                <w:color w:val="005DA8"/>
                <w:kern w:val="2"/>
                <w:sz w:val="24"/>
                <w:szCs w:val="24"/>
                <w14:ligatures w14:val="standardContextual"/>
              </w:rPr>
              <w:t>Une notoriété de plus de</w:t>
            </w:r>
            <w:r>
              <w:rPr>
                <w:rFonts w:ascii="Arial" w:eastAsia="Times New Roman" w:hAnsi="Arial" w:cs="Arial"/>
                <w:b/>
                <w:bCs/>
                <w:color w:val="000000"/>
                <w:kern w:val="2"/>
                <w:sz w:val="24"/>
                <w:szCs w:val="24"/>
                <w14:ligatures w14:val="standardContextual"/>
              </w:rPr>
              <w:t xml:space="preserve"> </w:t>
            </w:r>
            <w:r>
              <w:rPr>
                <w:rFonts w:ascii="Arial" w:eastAsia="Times New Roman" w:hAnsi="Arial" w:cs="Arial"/>
                <w:b/>
                <w:bCs/>
                <w:color w:val="FBC103"/>
                <w:kern w:val="2"/>
                <w:sz w:val="24"/>
                <w:szCs w:val="24"/>
                <w14:ligatures w14:val="standardContextual"/>
              </w:rPr>
              <w:t xml:space="preserve">70 ans </w:t>
            </w:r>
          </w:p>
          <w:p w14:paraId="6711B9AF" w14:textId="77777777" w:rsidR="004161F4" w:rsidRDefault="004161F4" w:rsidP="00854511">
            <w:pPr>
              <w:pStyle w:val="Paragraphedeliste"/>
              <w:numPr>
                <w:ilvl w:val="0"/>
                <w:numId w:val="2"/>
              </w:numPr>
              <w:rPr>
                <w:rFonts w:eastAsia="Times New Roman"/>
                <w:kern w:val="2"/>
                <w14:ligatures w14:val="standardContextual"/>
              </w:rPr>
            </w:pPr>
            <w:r>
              <w:rPr>
                <w:rFonts w:ascii="Arial" w:eastAsia="Times New Roman" w:hAnsi="Arial" w:cs="Arial"/>
                <w:b/>
                <w:bCs/>
                <w:color w:val="FBC103"/>
                <w:kern w:val="2"/>
                <w:sz w:val="24"/>
                <w:szCs w:val="24"/>
                <w14:ligatures w14:val="standardContextual"/>
              </w:rPr>
              <w:t xml:space="preserve">1 700 </w:t>
            </w:r>
            <w:r>
              <w:rPr>
                <w:rFonts w:ascii="Arial" w:eastAsia="Times New Roman" w:hAnsi="Arial" w:cs="Arial"/>
                <w:b/>
                <w:bCs/>
                <w:color w:val="005DA8"/>
                <w:kern w:val="2"/>
                <w:sz w:val="24"/>
                <w:szCs w:val="24"/>
                <w14:ligatures w14:val="standardContextual"/>
              </w:rPr>
              <w:t>accords de partenariat avec les administrations</w:t>
            </w:r>
            <w:r>
              <w:rPr>
                <w:rFonts w:ascii="Arial" w:eastAsia="Times New Roman" w:hAnsi="Arial" w:cs="Arial"/>
                <w:b/>
                <w:bCs/>
                <w:color w:val="000000"/>
                <w:kern w:val="2"/>
                <w:sz w:val="24"/>
                <w:szCs w:val="24"/>
                <w14:ligatures w14:val="standardContextual"/>
              </w:rPr>
              <w:t xml:space="preserve"> </w:t>
            </w:r>
            <w:r>
              <w:rPr>
                <w:rFonts w:ascii="Arial" w:eastAsia="Times New Roman" w:hAnsi="Arial" w:cs="Arial"/>
                <w:b/>
                <w:bCs/>
                <w:color w:val="005DA8"/>
                <w:kern w:val="2"/>
                <w:sz w:val="24"/>
                <w:szCs w:val="24"/>
                <w14:ligatures w14:val="standardContextual"/>
              </w:rPr>
              <w:t>dans toute la France</w:t>
            </w:r>
          </w:p>
          <w:p w14:paraId="2E0D6F61" w14:textId="77777777" w:rsidR="004161F4" w:rsidRDefault="004161F4" w:rsidP="00854511">
            <w:pPr>
              <w:pStyle w:val="Paragraphedeliste"/>
              <w:numPr>
                <w:ilvl w:val="0"/>
                <w:numId w:val="2"/>
              </w:numPr>
              <w:rPr>
                <w:rFonts w:eastAsia="Times New Roman"/>
                <w:kern w:val="2"/>
                <w14:ligatures w14:val="standardContextual"/>
              </w:rPr>
            </w:pPr>
            <w:r>
              <w:rPr>
                <w:rFonts w:ascii="Arial" w:eastAsia="Times New Roman" w:hAnsi="Arial" w:cs="Arial"/>
                <w:b/>
                <w:bCs/>
                <w:color w:val="FBC103"/>
                <w:kern w:val="2"/>
                <w:sz w:val="24"/>
                <w:szCs w:val="24"/>
                <w14:ligatures w14:val="standardContextual"/>
              </w:rPr>
              <w:t xml:space="preserve">3 192 000 </w:t>
            </w:r>
            <w:r>
              <w:rPr>
                <w:rFonts w:ascii="Arial" w:eastAsia="Times New Roman" w:hAnsi="Arial" w:cs="Arial"/>
                <w:b/>
                <w:bCs/>
                <w:color w:val="005DA8"/>
                <w:kern w:val="2"/>
                <w:sz w:val="24"/>
                <w:szCs w:val="24"/>
                <w14:ligatures w14:val="standardContextual"/>
              </w:rPr>
              <w:t>d'agents bénéficiant d’un accord de partenariat</w:t>
            </w:r>
            <w:r>
              <w:rPr>
                <w:rFonts w:ascii="Arial" w:eastAsia="Times New Roman" w:hAnsi="Arial" w:cs="Arial"/>
                <w:b/>
                <w:bCs/>
                <w:color w:val="000000"/>
                <w:kern w:val="2"/>
                <w:sz w:val="24"/>
                <w:szCs w:val="24"/>
                <w14:ligatures w14:val="standardContextual"/>
              </w:rPr>
              <w:t xml:space="preserve"> </w:t>
            </w:r>
            <w:r>
              <w:rPr>
                <w:rFonts w:ascii="Arial" w:eastAsia="Times New Roman" w:hAnsi="Arial" w:cs="Arial"/>
                <w:b/>
                <w:bCs/>
                <w:color w:val="005DA8"/>
                <w:kern w:val="2"/>
                <w:sz w:val="24"/>
                <w:szCs w:val="24"/>
                <w14:ligatures w14:val="standardContextual"/>
              </w:rPr>
              <w:t>facilitant l’accès à la propriété</w:t>
            </w:r>
          </w:p>
          <w:p w14:paraId="547698EE" w14:textId="77777777" w:rsidR="004161F4" w:rsidRDefault="004161F4" w:rsidP="00854511">
            <w:pPr>
              <w:pStyle w:val="Paragraphedeliste"/>
              <w:numPr>
                <w:ilvl w:val="0"/>
                <w:numId w:val="2"/>
              </w:numPr>
              <w:rPr>
                <w:rFonts w:eastAsia="Times New Roman"/>
                <w:kern w:val="2"/>
                <w14:ligatures w14:val="standardContextual"/>
              </w:rPr>
            </w:pPr>
            <w:r>
              <w:rPr>
                <w:rFonts w:ascii="Arial" w:eastAsia="Times New Roman" w:hAnsi="Arial" w:cs="Arial"/>
                <w:b/>
                <w:bCs/>
                <w:color w:val="FBC103"/>
                <w:kern w:val="2"/>
                <w:sz w:val="24"/>
                <w:szCs w:val="24"/>
                <w14:ligatures w14:val="standardContextual"/>
              </w:rPr>
              <w:t>45</w:t>
            </w:r>
            <w:r>
              <w:rPr>
                <w:rFonts w:ascii="Arial" w:eastAsia="Times New Roman" w:hAnsi="Arial" w:cs="Arial"/>
                <w:b/>
                <w:bCs/>
                <w:color w:val="005DA8"/>
                <w:kern w:val="2"/>
                <w:sz w:val="24"/>
                <w:szCs w:val="24"/>
                <w14:ligatures w14:val="standardContextual"/>
              </w:rPr>
              <w:t xml:space="preserve"> partenariats bancaires conclus avec CRESERFI</w:t>
            </w:r>
          </w:p>
          <w:p w14:paraId="64D5C13E" w14:textId="77777777" w:rsidR="004161F4" w:rsidRDefault="004161F4" w:rsidP="00854511">
            <w:pPr>
              <w:pStyle w:val="Paragraphedeliste"/>
              <w:numPr>
                <w:ilvl w:val="0"/>
                <w:numId w:val="2"/>
              </w:numPr>
              <w:rPr>
                <w:rFonts w:eastAsia="Times New Roman"/>
                <w:kern w:val="2"/>
                <w14:ligatures w14:val="standardContextual"/>
              </w:rPr>
            </w:pPr>
            <w:r>
              <w:rPr>
                <w:rFonts w:ascii="Arial" w:eastAsia="Times New Roman" w:hAnsi="Arial" w:cs="Arial"/>
                <w:b/>
                <w:bCs/>
                <w:color w:val="005DA8"/>
                <w:kern w:val="2"/>
                <w:sz w:val="24"/>
                <w:szCs w:val="24"/>
                <w14:ligatures w14:val="standardContextual"/>
              </w:rPr>
              <w:t xml:space="preserve">Une </w:t>
            </w:r>
            <w:r>
              <w:rPr>
                <w:rFonts w:ascii="Arial" w:eastAsia="Times New Roman" w:hAnsi="Arial" w:cs="Arial"/>
                <w:b/>
                <w:bCs/>
                <w:color w:val="FBC103"/>
                <w:kern w:val="2"/>
                <w:sz w:val="24"/>
                <w:szCs w:val="24"/>
                <w14:ligatures w14:val="standardContextual"/>
              </w:rPr>
              <w:t xml:space="preserve">Assurance des emprunteurs </w:t>
            </w:r>
            <w:r>
              <w:rPr>
                <w:rFonts w:ascii="Arial" w:eastAsia="Times New Roman" w:hAnsi="Arial" w:cs="Arial"/>
                <w:b/>
                <w:bCs/>
                <w:color w:val="005DA8"/>
                <w:kern w:val="2"/>
                <w:sz w:val="24"/>
                <w:szCs w:val="24"/>
                <w14:ligatures w14:val="standardContextual"/>
              </w:rPr>
              <w:t>adaptée aux fonctions à risques</w:t>
            </w:r>
          </w:p>
        </w:tc>
      </w:tr>
      <w:tr w:rsidR="004161F4" w14:paraId="7299BE8F" w14:textId="77777777" w:rsidTr="004161F4">
        <w:trPr>
          <w:trHeight w:val="851"/>
        </w:trPr>
        <w:tc>
          <w:tcPr>
            <w:tcW w:w="9498" w:type="dxa"/>
            <w:shd w:val="clear" w:color="auto" w:fill="005DA8"/>
            <w:tcMar>
              <w:top w:w="0" w:type="dxa"/>
              <w:left w:w="567" w:type="dxa"/>
              <w:bottom w:w="0" w:type="dxa"/>
              <w:right w:w="567" w:type="dxa"/>
            </w:tcMar>
            <w:vAlign w:val="center"/>
            <w:hideMark/>
          </w:tcPr>
          <w:p w14:paraId="3A448B1E" w14:textId="77777777" w:rsidR="004161F4" w:rsidRDefault="004161F4">
            <w:pPr>
              <w:rPr>
                <w:rFonts w:ascii="Arial" w:hAnsi="Arial" w:cs="Arial"/>
                <w:b/>
                <w:bCs/>
                <w:color w:val="FFFFFF"/>
                <w:kern w:val="2"/>
                <w:sz w:val="32"/>
                <w:szCs w:val="32"/>
                <w14:ligatures w14:val="standardContextual"/>
              </w:rPr>
            </w:pPr>
            <w:hyperlink r:id="rId8" w:history="1">
              <w:r>
                <w:rPr>
                  <w:rStyle w:val="Lienhypertexte"/>
                  <w:rFonts w:ascii="Segoe UI Emoji" w:hAnsi="Segoe UI Emoji" w:cs="Segoe UI Emoji"/>
                  <w:b/>
                  <w:bCs/>
                  <w:caps/>
                  <w:color w:val="FFFFFF"/>
                  <w:kern w:val="2"/>
                  <w:sz w:val="32"/>
                  <w:szCs w:val="32"/>
                  <w14:ligatures w14:val="standardContextual"/>
                </w:rPr>
                <w:t>🕑</w:t>
              </w:r>
              <w:r>
                <w:rPr>
                  <w:rStyle w:val="Lienhypertexte"/>
                  <w:rFonts w:ascii="Arial" w:hAnsi="Arial" w:cs="Arial"/>
                  <w:b/>
                  <w:bCs/>
                  <w:caps/>
                  <w:color w:val="FFFFFF"/>
                  <w:kern w:val="2"/>
                  <w:sz w:val="32"/>
                  <w:szCs w:val="32"/>
                  <w14:ligatures w14:val="standardContextual"/>
                </w:rPr>
                <w:t xml:space="preserve"> VOS ACQUÉREURS PEUVENT PRENDRE RDV SUR CSF.FR </w:t>
              </w:r>
            </w:hyperlink>
          </w:p>
        </w:tc>
      </w:tr>
      <w:tr w:rsidR="004161F4" w14:paraId="4F7D7E28" w14:textId="77777777" w:rsidTr="004161F4">
        <w:trPr>
          <w:trHeight w:val="2775"/>
        </w:trPr>
        <w:tc>
          <w:tcPr>
            <w:tcW w:w="9498" w:type="dxa"/>
            <w:shd w:val="clear" w:color="auto" w:fill="FFFFFF"/>
            <w:tcMar>
              <w:top w:w="0" w:type="dxa"/>
              <w:left w:w="567" w:type="dxa"/>
              <w:bottom w:w="0" w:type="dxa"/>
              <w:right w:w="567" w:type="dxa"/>
            </w:tcMar>
            <w:hideMark/>
          </w:tcPr>
          <w:p w14:paraId="0F306ACA" w14:textId="15135C49" w:rsidR="004161F4" w:rsidRDefault="004161F4">
            <w:pPr>
              <w:pStyle w:val="NormalWeb"/>
              <w:jc w:val="center"/>
              <w:rPr>
                <w:rFonts w:ascii="Arial" w:hAnsi="Arial" w:cs="Arial"/>
                <w:color w:val="000000"/>
                <w:kern w:val="2"/>
                <w:sz w:val="18"/>
                <w:szCs w:val="18"/>
                <w:lang w:eastAsia="en-US"/>
                <w14:ligatures w14:val="standardContextual"/>
              </w:rPr>
            </w:pPr>
            <w:r>
              <w:rPr>
                <w:rFonts w:ascii="Arial" w:hAnsi="Arial" w:cs="Arial"/>
                <w:noProof/>
                <w:color w:val="000000"/>
                <w:kern w:val="2"/>
                <w:sz w:val="21"/>
                <w:szCs w:val="21"/>
                <w:lang w:eastAsia="en-US"/>
                <w14:ligatures w14:val="standardContextual"/>
              </w:rPr>
              <w:drawing>
                <wp:inline distT="0" distB="0" distL="0" distR="0" wp14:anchorId="31D4AD01" wp14:editId="7819E92D">
                  <wp:extent cx="1466850" cy="11239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850" cy="1123950"/>
                          </a:xfrm>
                          <a:prstGeom prst="rect">
                            <a:avLst/>
                          </a:prstGeom>
                          <a:noFill/>
                          <a:ln>
                            <a:noFill/>
                          </a:ln>
                        </pic:spPr>
                      </pic:pic>
                    </a:graphicData>
                  </a:graphic>
                </wp:inline>
              </w:drawing>
            </w:r>
            <w:r>
              <w:rPr>
                <w:rFonts w:ascii="Arial" w:hAnsi="Arial" w:cs="Arial"/>
                <w:color w:val="000000"/>
                <w:kern w:val="2"/>
                <w:sz w:val="21"/>
                <w:szCs w:val="21"/>
                <w:lang w:eastAsia="en-US"/>
                <w14:ligatures w14:val="standardContextual"/>
              </w:rPr>
              <w:br/>
            </w:r>
            <w:r>
              <w:rPr>
                <w:rFonts w:ascii="Arial" w:hAnsi="Arial" w:cs="Arial"/>
                <w:b/>
                <w:bCs/>
                <w:color w:val="000000"/>
                <w:kern w:val="2"/>
                <w:sz w:val="20"/>
                <w:szCs w:val="20"/>
                <w:lang w:eastAsia="en-US"/>
                <w14:ligatures w14:val="standardContextual"/>
              </w:rPr>
              <w:t>Note de satisfaction client : 4,5/5</w:t>
            </w:r>
            <w:r>
              <w:rPr>
                <w:rFonts w:ascii="Arial" w:hAnsi="Arial" w:cs="Arial"/>
                <w:color w:val="000000"/>
                <w:kern w:val="2"/>
                <w:sz w:val="21"/>
                <w:szCs w:val="21"/>
                <w:lang w:eastAsia="en-US"/>
                <w14:ligatures w14:val="standardContextual"/>
              </w:rPr>
              <w:br/>
            </w:r>
            <w:r>
              <w:rPr>
                <w:rFonts w:ascii="Arial" w:hAnsi="Arial" w:cs="Arial"/>
                <w:color w:val="000000"/>
                <w:kern w:val="2"/>
                <w:sz w:val="18"/>
                <w:szCs w:val="18"/>
                <w:lang w:eastAsia="en-US"/>
                <w14:ligatures w14:val="standardContextual"/>
              </w:rPr>
              <w:t>Des avis externes vérifiés et authentiques :</w:t>
            </w:r>
            <w:r>
              <w:rPr>
                <w:rFonts w:ascii="Arial" w:hAnsi="Arial" w:cs="Arial"/>
                <w:color w:val="000000"/>
                <w:kern w:val="2"/>
                <w:sz w:val="18"/>
                <w:szCs w:val="18"/>
                <w:lang w:eastAsia="en-US"/>
                <w14:ligatures w14:val="standardContextual"/>
              </w:rPr>
              <w:br/>
            </w:r>
            <w:proofErr w:type="spellStart"/>
            <w:r>
              <w:rPr>
                <w:rFonts w:ascii="Arial" w:hAnsi="Arial" w:cs="Arial"/>
                <w:color w:val="000000"/>
                <w:kern w:val="2"/>
                <w:sz w:val="18"/>
                <w:szCs w:val="18"/>
                <w:lang w:eastAsia="en-US"/>
                <w14:ligatures w14:val="standardContextual"/>
              </w:rPr>
              <w:t>Ekomi</w:t>
            </w:r>
            <w:proofErr w:type="spellEnd"/>
            <w:r>
              <w:rPr>
                <w:rFonts w:ascii="Arial" w:hAnsi="Arial" w:cs="Arial"/>
                <w:color w:val="000000"/>
                <w:kern w:val="2"/>
                <w:sz w:val="18"/>
                <w:szCs w:val="18"/>
                <w:lang w:eastAsia="en-US"/>
                <w14:ligatures w14:val="standardContextual"/>
              </w:rPr>
              <w:t xml:space="preserve"> fournit un service de récolte d'avis clients indépendant et transparent</w:t>
            </w:r>
          </w:p>
        </w:tc>
      </w:tr>
      <w:tr w:rsidR="004161F4" w14:paraId="4D4CA2CC" w14:textId="77777777" w:rsidTr="004161F4">
        <w:trPr>
          <w:trHeight w:val="851"/>
        </w:trPr>
        <w:tc>
          <w:tcPr>
            <w:tcW w:w="9498" w:type="dxa"/>
            <w:shd w:val="clear" w:color="auto" w:fill="FFC000"/>
            <w:tcMar>
              <w:top w:w="0" w:type="dxa"/>
              <w:left w:w="567" w:type="dxa"/>
              <w:bottom w:w="0" w:type="dxa"/>
              <w:right w:w="567" w:type="dxa"/>
            </w:tcMar>
            <w:vAlign w:val="center"/>
            <w:hideMark/>
          </w:tcPr>
          <w:p w14:paraId="1C5D95E8" w14:textId="77777777" w:rsidR="004161F4" w:rsidRDefault="004161F4">
            <w:pPr>
              <w:rPr>
                <w:rFonts w:ascii="Arial" w:hAnsi="Arial" w:cs="Arial"/>
                <w:b/>
                <w:bCs/>
                <w:color w:val="FFFFFF"/>
                <w:kern w:val="2"/>
                <w:sz w:val="32"/>
                <w:szCs w:val="32"/>
                <w14:ligatures w14:val="standardContextual"/>
              </w:rPr>
            </w:pPr>
            <w:r>
              <w:rPr>
                <w:rFonts w:ascii="Segoe UI Emoji" w:hAnsi="Segoe UI Emoji" w:cs="Segoe UI Emoji"/>
                <w:color w:val="000000"/>
                <w:kern w:val="2"/>
                <w:sz w:val="32"/>
                <w:szCs w:val="32"/>
                <w14:ligatures w14:val="standardContextual"/>
              </w:rPr>
              <w:t>📣</w:t>
            </w:r>
            <w:r>
              <w:rPr>
                <w:rFonts w:ascii="Arial" w:hAnsi="Arial" w:cs="Arial"/>
                <w:b/>
                <w:bCs/>
                <w:color w:val="2F5597"/>
                <w:kern w:val="2"/>
                <w:sz w:val="32"/>
                <w:szCs w:val="32"/>
                <w14:ligatures w14:val="standardContextual"/>
              </w:rPr>
              <w:t xml:space="preserve"> </w:t>
            </w:r>
            <w:r>
              <w:rPr>
                <w:rFonts w:ascii="Arial" w:hAnsi="Arial" w:cs="Arial"/>
                <w:b/>
                <w:bCs/>
                <w:caps/>
                <w:color w:val="FFFFFF"/>
                <w:kern w:val="2"/>
                <w:sz w:val="32"/>
                <w:szCs w:val="32"/>
                <w14:ligatures w14:val="standardContextual"/>
              </w:rPr>
              <w:t xml:space="preserve">Une Équipe AU service de vos acquereurs </w:t>
            </w:r>
          </w:p>
        </w:tc>
      </w:tr>
      <w:tr w:rsidR="004161F4" w14:paraId="30353DE8" w14:textId="77777777" w:rsidTr="004161F4">
        <w:trPr>
          <w:trHeight w:val="2775"/>
        </w:trPr>
        <w:tc>
          <w:tcPr>
            <w:tcW w:w="9498" w:type="dxa"/>
            <w:shd w:val="clear" w:color="auto" w:fill="FFFFFF"/>
            <w:tcMar>
              <w:top w:w="0" w:type="dxa"/>
              <w:left w:w="567" w:type="dxa"/>
              <w:bottom w:w="0" w:type="dxa"/>
              <w:right w:w="567" w:type="dxa"/>
            </w:tcMar>
            <w:vAlign w:val="center"/>
          </w:tcPr>
          <w:p w14:paraId="100E4AD2" w14:textId="77777777" w:rsidR="004161F4" w:rsidRDefault="004161F4">
            <w:pPr>
              <w:rPr>
                <w:rFonts w:ascii="Arial" w:hAnsi="Arial" w:cs="Arial"/>
                <w:b/>
                <w:bCs/>
                <w:color w:val="005DA8"/>
                <w:kern w:val="2"/>
                <w:sz w:val="24"/>
                <w:szCs w:val="24"/>
                <w14:ligatures w14:val="standardContextual"/>
              </w:rPr>
            </w:pPr>
          </w:p>
          <w:p w14:paraId="0F59248C" w14:textId="77777777" w:rsidR="004161F4" w:rsidRDefault="004161F4">
            <w:pPr>
              <w:rPr>
                <w:rFonts w:ascii="Arial" w:hAnsi="Arial" w:cs="Arial"/>
                <w:b/>
                <w:bCs/>
                <w:color w:val="005DA8"/>
                <w:kern w:val="2"/>
                <w:sz w:val="24"/>
                <w:szCs w:val="24"/>
                <w14:ligatures w14:val="standardContextual"/>
              </w:rPr>
            </w:pPr>
            <w:r>
              <w:rPr>
                <w:rFonts w:ascii="Arial" w:hAnsi="Arial" w:cs="Arial"/>
                <w:b/>
                <w:bCs/>
                <w:color w:val="005DA8"/>
                <w:kern w:val="2"/>
                <w:sz w:val="24"/>
                <w:szCs w:val="24"/>
                <w14:ligatures w14:val="standardContextual"/>
              </w:rPr>
              <w:t xml:space="preserve">Retrouvez notre agence et ses conseiller.es </w:t>
            </w:r>
            <w:proofErr w:type="spellStart"/>
            <w:r>
              <w:rPr>
                <w:rFonts w:ascii="Arial" w:hAnsi="Arial" w:cs="Arial"/>
                <w:b/>
                <w:bCs/>
                <w:color w:val="005DA8"/>
                <w:kern w:val="2"/>
                <w:sz w:val="24"/>
                <w:szCs w:val="24"/>
                <w14:ligatures w14:val="standardContextual"/>
              </w:rPr>
              <w:t>Créserfi</w:t>
            </w:r>
            <w:proofErr w:type="spellEnd"/>
            <w:r>
              <w:rPr>
                <w:rFonts w:ascii="Arial" w:hAnsi="Arial" w:cs="Arial"/>
                <w:b/>
                <w:bCs/>
                <w:color w:val="005DA8"/>
                <w:kern w:val="2"/>
                <w:sz w:val="24"/>
                <w:szCs w:val="24"/>
                <w14:ligatures w14:val="standardContextual"/>
              </w:rPr>
              <w:t xml:space="preserve"> </w:t>
            </w:r>
          </w:p>
          <w:p w14:paraId="69DBC28F" w14:textId="77777777" w:rsidR="004161F4" w:rsidRDefault="004161F4">
            <w:pPr>
              <w:rPr>
                <w:rFonts w:ascii="Arial" w:hAnsi="Arial" w:cs="Arial"/>
                <w:b/>
                <w:bCs/>
                <w:color w:val="005DA8"/>
                <w:kern w:val="2"/>
                <w:sz w:val="24"/>
                <w:szCs w:val="24"/>
                <w14:ligatures w14:val="standardContextual"/>
              </w:rPr>
            </w:pPr>
          </w:p>
          <w:p w14:paraId="2EC3CE87" w14:textId="77777777" w:rsidR="004161F4" w:rsidRDefault="004161F4" w:rsidP="00854511">
            <w:pPr>
              <w:pStyle w:val="Paragraphedeliste"/>
              <w:numPr>
                <w:ilvl w:val="0"/>
                <w:numId w:val="2"/>
              </w:numPr>
              <w:ind w:left="357" w:hanging="357"/>
              <w:rPr>
                <w:rFonts w:ascii="Arial" w:hAnsi="Arial" w:cs="Arial"/>
                <w:b/>
                <w:bCs/>
                <w:color w:val="005DA8"/>
                <w:kern w:val="2"/>
                <w:sz w:val="24"/>
                <w:szCs w:val="24"/>
                <w14:ligatures w14:val="standardContextual"/>
              </w:rPr>
            </w:pPr>
            <w:r>
              <w:rPr>
                <w:rFonts w:ascii="Arial" w:hAnsi="Arial" w:cs="Arial"/>
                <w:b/>
                <w:bCs/>
                <w:color w:val="005DA8"/>
                <w:kern w:val="2"/>
                <w:sz w:val="24"/>
                <w:szCs w:val="24"/>
                <w14:ligatures w14:val="standardContextual"/>
              </w:rPr>
              <w:t xml:space="preserve">Prénom NOM - Ville - Départements - Tél. </w:t>
            </w:r>
            <w:r>
              <w:rPr>
                <w:rFonts w:ascii="Arial" w:hAnsi="Arial" w:cs="Arial"/>
                <w:b/>
                <w:bCs/>
                <w:color w:val="FFC000"/>
                <w:kern w:val="2"/>
                <w:sz w:val="24"/>
                <w:szCs w:val="24"/>
                <w14:ligatures w14:val="standardContextual"/>
              </w:rPr>
              <w:t xml:space="preserve">06 00 00 00 00 </w:t>
            </w:r>
            <w:r>
              <w:rPr>
                <w:rFonts w:ascii="Arial" w:hAnsi="Arial" w:cs="Arial"/>
                <w:b/>
                <w:bCs/>
                <w:color w:val="005DA8"/>
                <w:kern w:val="2"/>
                <w:sz w:val="24"/>
                <w:szCs w:val="24"/>
                <w14:ligatures w14:val="standardContextual"/>
              </w:rPr>
              <w:t xml:space="preserve">- </w:t>
            </w:r>
            <w:hyperlink r:id="rId10" w:history="1">
              <w:r>
                <w:rPr>
                  <w:rStyle w:val="Lienhypertexte"/>
                  <w:rFonts w:ascii="Arial" w:hAnsi="Arial" w:cs="Arial"/>
                  <w:b/>
                  <w:bCs/>
                  <w:kern w:val="2"/>
                  <w:sz w:val="24"/>
                  <w:szCs w:val="24"/>
                  <w14:ligatures w14:val="standardContextual"/>
                </w:rPr>
                <w:t>nom@csf.fr</w:t>
              </w:r>
            </w:hyperlink>
          </w:p>
          <w:p w14:paraId="28D6DE12" w14:textId="77777777" w:rsidR="004161F4" w:rsidRDefault="004161F4" w:rsidP="00854511">
            <w:pPr>
              <w:pStyle w:val="Paragraphedeliste"/>
              <w:numPr>
                <w:ilvl w:val="0"/>
                <w:numId w:val="2"/>
              </w:numPr>
              <w:ind w:left="357" w:hanging="357"/>
              <w:rPr>
                <w:rFonts w:ascii="Arial" w:hAnsi="Arial" w:cs="Arial"/>
                <w:b/>
                <w:bCs/>
                <w:color w:val="005DA8"/>
                <w:kern w:val="2"/>
                <w:sz w:val="24"/>
                <w:szCs w:val="24"/>
                <w14:ligatures w14:val="standardContextual"/>
              </w:rPr>
            </w:pPr>
            <w:r>
              <w:rPr>
                <w:rFonts w:ascii="Arial" w:hAnsi="Arial" w:cs="Arial"/>
                <w:b/>
                <w:bCs/>
                <w:color w:val="005DA8"/>
                <w:kern w:val="2"/>
                <w:sz w:val="24"/>
                <w:szCs w:val="24"/>
                <w14:ligatures w14:val="standardContextual"/>
              </w:rPr>
              <w:t xml:space="preserve">Prénom NOM - Ville - Départements - Tél. </w:t>
            </w:r>
            <w:r>
              <w:rPr>
                <w:rFonts w:ascii="Arial" w:hAnsi="Arial" w:cs="Arial"/>
                <w:b/>
                <w:bCs/>
                <w:color w:val="FFC000"/>
                <w:kern w:val="2"/>
                <w:sz w:val="24"/>
                <w:szCs w:val="24"/>
                <w14:ligatures w14:val="standardContextual"/>
              </w:rPr>
              <w:t xml:space="preserve">06 00 00 00 00 </w:t>
            </w:r>
            <w:r>
              <w:rPr>
                <w:rFonts w:ascii="Arial" w:hAnsi="Arial" w:cs="Arial"/>
                <w:b/>
                <w:bCs/>
                <w:color w:val="005DA8"/>
                <w:kern w:val="2"/>
                <w:sz w:val="24"/>
                <w:szCs w:val="24"/>
                <w14:ligatures w14:val="standardContextual"/>
              </w:rPr>
              <w:t xml:space="preserve">- </w:t>
            </w:r>
            <w:hyperlink r:id="rId11" w:history="1">
              <w:r>
                <w:rPr>
                  <w:rStyle w:val="Lienhypertexte"/>
                  <w:rFonts w:ascii="Arial" w:hAnsi="Arial" w:cs="Arial"/>
                  <w:b/>
                  <w:bCs/>
                  <w:kern w:val="2"/>
                  <w:sz w:val="24"/>
                  <w:szCs w:val="24"/>
                  <w14:ligatures w14:val="standardContextual"/>
                </w:rPr>
                <w:t>nom@csf.fr</w:t>
              </w:r>
            </w:hyperlink>
          </w:p>
          <w:p w14:paraId="561227E3" w14:textId="77777777" w:rsidR="004161F4" w:rsidRDefault="004161F4" w:rsidP="00854511">
            <w:pPr>
              <w:pStyle w:val="Paragraphedeliste"/>
              <w:numPr>
                <w:ilvl w:val="0"/>
                <w:numId w:val="2"/>
              </w:numPr>
              <w:ind w:left="357" w:hanging="357"/>
              <w:rPr>
                <w:rFonts w:ascii="Arial" w:hAnsi="Arial" w:cs="Arial"/>
                <w:b/>
                <w:bCs/>
                <w:color w:val="005DA8"/>
                <w:kern w:val="2"/>
                <w:sz w:val="24"/>
                <w:szCs w:val="24"/>
                <w14:ligatures w14:val="standardContextual"/>
              </w:rPr>
            </w:pPr>
            <w:r>
              <w:rPr>
                <w:rFonts w:ascii="Arial" w:hAnsi="Arial" w:cs="Arial"/>
                <w:b/>
                <w:bCs/>
                <w:color w:val="005DA8"/>
                <w:kern w:val="2"/>
                <w:sz w:val="24"/>
                <w:szCs w:val="24"/>
                <w14:ligatures w14:val="standardContextual"/>
              </w:rPr>
              <w:t xml:space="preserve">Prénom NOM - Ville - Départements - Tél. </w:t>
            </w:r>
            <w:r>
              <w:rPr>
                <w:rFonts w:ascii="Arial" w:hAnsi="Arial" w:cs="Arial"/>
                <w:b/>
                <w:bCs/>
                <w:color w:val="FFC000"/>
                <w:kern w:val="2"/>
                <w:sz w:val="24"/>
                <w:szCs w:val="24"/>
                <w14:ligatures w14:val="standardContextual"/>
              </w:rPr>
              <w:t xml:space="preserve">06 00 00 00 00 </w:t>
            </w:r>
            <w:r>
              <w:rPr>
                <w:rFonts w:ascii="Arial" w:hAnsi="Arial" w:cs="Arial"/>
                <w:b/>
                <w:bCs/>
                <w:color w:val="005DA8"/>
                <w:kern w:val="2"/>
                <w:sz w:val="24"/>
                <w:szCs w:val="24"/>
                <w14:ligatures w14:val="standardContextual"/>
              </w:rPr>
              <w:t xml:space="preserve">- </w:t>
            </w:r>
            <w:hyperlink r:id="rId12" w:history="1">
              <w:r>
                <w:rPr>
                  <w:rStyle w:val="Lienhypertexte"/>
                  <w:rFonts w:ascii="Arial" w:hAnsi="Arial" w:cs="Arial"/>
                  <w:b/>
                  <w:bCs/>
                  <w:kern w:val="2"/>
                  <w:sz w:val="24"/>
                  <w:szCs w:val="24"/>
                  <w14:ligatures w14:val="standardContextual"/>
                </w:rPr>
                <w:t>nom@csf.fr</w:t>
              </w:r>
            </w:hyperlink>
          </w:p>
          <w:p w14:paraId="11911705" w14:textId="77777777" w:rsidR="004161F4" w:rsidRDefault="004161F4" w:rsidP="00854511">
            <w:pPr>
              <w:pStyle w:val="Paragraphedeliste"/>
              <w:numPr>
                <w:ilvl w:val="0"/>
                <w:numId w:val="2"/>
              </w:numPr>
              <w:ind w:left="357" w:hanging="357"/>
              <w:rPr>
                <w:rFonts w:ascii="Arial" w:hAnsi="Arial" w:cs="Arial"/>
                <w:b/>
                <w:bCs/>
                <w:color w:val="005DA8"/>
                <w:kern w:val="2"/>
                <w:sz w:val="24"/>
                <w:szCs w:val="24"/>
                <w14:ligatures w14:val="standardContextual"/>
              </w:rPr>
            </w:pPr>
            <w:r>
              <w:rPr>
                <w:rFonts w:ascii="Arial" w:hAnsi="Arial" w:cs="Arial"/>
                <w:b/>
                <w:bCs/>
                <w:color w:val="005DA8"/>
                <w:kern w:val="2"/>
                <w:sz w:val="24"/>
                <w:szCs w:val="24"/>
                <w14:ligatures w14:val="standardContextual"/>
              </w:rPr>
              <w:t xml:space="preserve">Prénom NOM - Ville - Départements - Tél. </w:t>
            </w:r>
            <w:r>
              <w:rPr>
                <w:rFonts w:ascii="Arial" w:hAnsi="Arial" w:cs="Arial"/>
                <w:b/>
                <w:bCs/>
                <w:color w:val="FFC000"/>
                <w:kern w:val="2"/>
                <w:sz w:val="24"/>
                <w:szCs w:val="24"/>
                <w14:ligatures w14:val="standardContextual"/>
              </w:rPr>
              <w:t xml:space="preserve">06 00 00 00 00 </w:t>
            </w:r>
            <w:r>
              <w:rPr>
                <w:rFonts w:ascii="Arial" w:hAnsi="Arial" w:cs="Arial"/>
                <w:b/>
                <w:bCs/>
                <w:color w:val="005DA8"/>
                <w:kern w:val="2"/>
                <w:sz w:val="24"/>
                <w:szCs w:val="24"/>
                <w14:ligatures w14:val="standardContextual"/>
              </w:rPr>
              <w:t xml:space="preserve">- </w:t>
            </w:r>
            <w:hyperlink r:id="rId13" w:history="1">
              <w:r>
                <w:rPr>
                  <w:rStyle w:val="Lienhypertexte"/>
                  <w:rFonts w:ascii="Arial" w:hAnsi="Arial" w:cs="Arial"/>
                  <w:b/>
                  <w:bCs/>
                  <w:kern w:val="2"/>
                  <w:sz w:val="24"/>
                  <w:szCs w:val="24"/>
                  <w14:ligatures w14:val="standardContextual"/>
                </w:rPr>
                <w:t>nom@csf.fr</w:t>
              </w:r>
            </w:hyperlink>
          </w:p>
          <w:p w14:paraId="062CCF58" w14:textId="77777777" w:rsidR="004161F4" w:rsidRDefault="004161F4" w:rsidP="00854511">
            <w:pPr>
              <w:pStyle w:val="Paragraphedeliste"/>
              <w:numPr>
                <w:ilvl w:val="0"/>
                <w:numId w:val="2"/>
              </w:numPr>
              <w:ind w:left="357" w:hanging="357"/>
              <w:rPr>
                <w:rFonts w:ascii="Arial" w:hAnsi="Arial" w:cs="Arial"/>
                <w:b/>
                <w:bCs/>
                <w:color w:val="005DA8"/>
                <w:kern w:val="2"/>
                <w:sz w:val="24"/>
                <w:szCs w:val="24"/>
                <w14:ligatures w14:val="standardContextual"/>
              </w:rPr>
            </w:pPr>
            <w:r>
              <w:rPr>
                <w:rFonts w:ascii="Arial" w:hAnsi="Arial" w:cs="Arial"/>
                <w:b/>
                <w:bCs/>
                <w:color w:val="005DA8"/>
                <w:kern w:val="2"/>
                <w:sz w:val="24"/>
                <w:szCs w:val="24"/>
                <w14:ligatures w14:val="standardContextual"/>
              </w:rPr>
              <w:t xml:space="preserve">Prénom NOM - Ville - Départements - Tél. </w:t>
            </w:r>
            <w:r>
              <w:rPr>
                <w:rFonts w:ascii="Arial" w:hAnsi="Arial" w:cs="Arial"/>
                <w:b/>
                <w:bCs/>
                <w:color w:val="FFC000"/>
                <w:kern w:val="2"/>
                <w:sz w:val="24"/>
                <w:szCs w:val="24"/>
                <w14:ligatures w14:val="standardContextual"/>
              </w:rPr>
              <w:t xml:space="preserve">06 00 00 00 00 </w:t>
            </w:r>
            <w:r>
              <w:rPr>
                <w:rFonts w:ascii="Arial" w:hAnsi="Arial" w:cs="Arial"/>
                <w:b/>
                <w:bCs/>
                <w:color w:val="005DA8"/>
                <w:kern w:val="2"/>
                <w:sz w:val="24"/>
                <w:szCs w:val="24"/>
                <w14:ligatures w14:val="standardContextual"/>
              </w:rPr>
              <w:t xml:space="preserve">- </w:t>
            </w:r>
            <w:hyperlink r:id="rId14" w:history="1">
              <w:r>
                <w:rPr>
                  <w:rStyle w:val="Lienhypertexte"/>
                  <w:rFonts w:ascii="Arial" w:hAnsi="Arial" w:cs="Arial"/>
                  <w:b/>
                  <w:bCs/>
                  <w:kern w:val="2"/>
                  <w:sz w:val="24"/>
                  <w:szCs w:val="24"/>
                  <w14:ligatures w14:val="standardContextual"/>
                </w:rPr>
                <w:t>nom@csf.fr</w:t>
              </w:r>
            </w:hyperlink>
          </w:p>
          <w:p w14:paraId="001B231D" w14:textId="77777777" w:rsidR="004161F4" w:rsidRDefault="004161F4" w:rsidP="00854511">
            <w:pPr>
              <w:pStyle w:val="Paragraphedeliste"/>
              <w:numPr>
                <w:ilvl w:val="0"/>
                <w:numId w:val="2"/>
              </w:numPr>
              <w:ind w:left="357" w:hanging="357"/>
              <w:rPr>
                <w:rFonts w:ascii="Arial" w:hAnsi="Arial" w:cs="Arial"/>
                <w:b/>
                <w:bCs/>
                <w:color w:val="005DA8"/>
                <w:kern w:val="2"/>
                <w:sz w:val="24"/>
                <w:szCs w:val="24"/>
                <w14:ligatures w14:val="standardContextual"/>
              </w:rPr>
            </w:pPr>
            <w:r>
              <w:rPr>
                <w:rFonts w:ascii="Arial" w:hAnsi="Arial" w:cs="Arial"/>
                <w:b/>
                <w:bCs/>
                <w:color w:val="005DA8"/>
                <w:kern w:val="2"/>
                <w:sz w:val="24"/>
                <w:szCs w:val="24"/>
                <w14:ligatures w14:val="standardContextual"/>
              </w:rPr>
              <w:t xml:space="preserve">Prénom NOM - Ville - Départements - Tél. </w:t>
            </w:r>
            <w:r>
              <w:rPr>
                <w:rFonts w:ascii="Arial" w:hAnsi="Arial" w:cs="Arial"/>
                <w:b/>
                <w:bCs/>
                <w:color w:val="FFC000"/>
                <w:kern w:val="2"/>
                <w:sz w:val="24"/>
                <w:szCs w:val="24"/>
                <w14:ligatures w14:val="standardContextual"/>
              </w:rPr>
              <w:t xml:space="preserve">06 00 00 00 00 </w:t>
            </w:r>
            <w:r>
              <w:rPr>
                <w:rFonts w:ascii="Arial" w:hAnsi="Arial" w:cs="Arial"/>
                <w:b/>
                <w:bCs/>
                <w:color w:val="005DA8"/>
                <w:kern w:val="2"/>
                <w:sz w:val="24"/>
                <w:szCs w:val="24"/>
                <w14:ligatures w14:val="standardContextual"/>
              </w:rPr>
              <w:t xml:space="preserve">- </w:t>
            </w:r>
            <w:hyperlink r:id="rId15" w:history="1">
              <w:r>
                <w:rPr>
                  <w:rStyle w:val="Lienhypertexte"/>
                  <w:rFonts w:ascii="Arial" w:hAnsi="Arial" w:cs="Arial"/>
                  <w:b/>
                  <w:bCs/>
                  <w:kern w:val="2"/>
                  <w:sz w:val="24"/>
                  <w:szCs w:val="24"/>
                  <w14:ligatures w14:val="standardContextual"/>
                </w:rPr>
                <w:t>nom@csf.fr</w:t>
              </w:r>
            </w:hyperlink>
          </w:p>
          <w:p w14:paraId="2C1EAF3B" w14:textId="77777777" w:rsidR="004161F4" w:rsidRDefault="004161F4">
            <w:pPr>
              <w:pStyle w:val="Paragraphedeliste"/>
              <w:ind w:left="357"/>
              <w:rPr>
                <w:kern w:val="2"/>
                <w14:ligatures w14:val="standardContextual"/>
              </w:rPr>
            </w:pPr>
          </w:p>
        </w:tc>
      </w:tr>
      <w:tr w:rsidR="004161F4" w14:paraId="2C3A215A" w14:textId="77777777" w:rsidTr="004161F4">
        <w:trPr>
          <w:trHeight w:val="396"/>
        </w:trPr>
        <w:tc>
          <w:tcPr>
            <w:tcW w:w="9498" w:type="dxa"/>
            <w:shd w:val="clear" w:color="auto" w:fill="FFFFFF"/>
            <w:tcMar>
              <w:top w:w="0" w:type="dxa"/>
              <w:left w:w="567" w:type="dxa"/>
              <w:bottom w:w="0" w:type="dxa"/>
              <w:right w:w="567" w:type="dxa"/>
            </w:tcMar>
            <w:hideMark/>
          </w:tcPr>
          <w:tbl>
            <w:tblPr>
              <w:tblW w:w="5000" w:type="pct"/>
              <w:tblCellSpacing w:w="0" w:type="dxa"/>
              <w:tblCellMar>
                <w:left w:w="0" w:type="dxa"/>
                <w:right w:w="0" w:type="dxa"/>
              </w:tblCellMar>
              <w:tblLook w:val="04A0" w:firstRow="1" w:lastRow="0" w:firstColumn="1" w:lastColumn="0" w:noHBand="0" w:noVBand="1"/>
            </w:tblPr>
            <w:tblGrid>
              <w:gridCol w:w="8364"/>
            </w:tblGrid>
            <w:tr w:rsidR="004161F4" w14:paraId="38E4BC71" w14:textId="77777777">
              <w:trPr>
                <w:tblCellSpacing w:w="0" w:type="dxa"/>
              </w:trPr>
              <w:tc>
                <w:tcPr>
                  <w:tcW w:w="5000" w:type="pct"/>
                  <w:hideMark/>
                </w:tcPr>
                <w:tbl>
                  <w:tblPr>
                    <w:tblW w:w="5000" w:type="pct"/>
                    <w:tblCellMar>
                      <w:left w:w="0" w:type="dxa"/>
                      <w:right w:w="0" w:type="dxa"/>
                    </w:tblCellMar>
                    <w:tblLook w:val="04A0" w:firstRow="1" w:lastRow="0" w:firstColumn="1" w:lastColumn="0" w:noHBand="0" w:noVBand="1"/>
                  </w:tblPr>
                  <w:tblGrid>
                    <w:gridCol w:w="8364"/>
                  </w:tblGrid>
                  <w:tr w:rsidR="004161F4" w14:paraId="4356E559"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8364"/>
                        </w:tblGrid>
                        <w:tr w:rsidR="004161F4" w14:paraId="7C20C965" w14:textId="77777777">
                          <w:tc>
                            <w:tcPr>
                              <w:tcW w:w="5000" w:type="pct"/>
                              <w:tcMar>
                                <w:top w:w="150" w:type="dxa"/>
                                <w:left w:w="0" w:type="dxa"/>
                                <w:bottom w:w="0" w:type="dxa"/>
                                <w:right w:w="0" w:type="dxa"/>
                              </w:tcMar>
                              <w:vAlign w:val="center"/>
                            </w:tcPr>
                            <w:p w14:paraId="0594BC7C" w14:textId="77777777" w:rsidR="004161F4" w:rsidRDefault="004161F4">
                              <w:pPr>
                                <w:autoSpaceDE w:val="0"/>
                                <w:autoSpaceDN w:val="0"/>
                                <w:rPr>
                                  <w:rFonts w:ascii="Arial" w:hAnsi="Arial" w:cs="Arial"/>
                                  <w:b/>
                                  <w:bCs/>
                                  <w:color w:val="999999"/>
                                  <w:kern w:val="2"/>
                                  <w:sz w:val="18"/>
                                  <w:szCs w:val="18"/>
                                  <w14:ligatures w14:val="standardContextual"/>
                                </w:rPr>
                              </w:pPr>
                              <w:r>
                                <w:rPr>
                                  <w:rFonts w:ascii="Arial" w:hAnsi="Arial" w:cs="Arial"/>
                                  <w:b/>
                                  <w:bCs/>
                                  <w:color w:val="999999"/>
                                  <w:kern w:val="2"/>
                                  <w:sz w:val="18"/>
                                  <w:szCs w:val="18"/>
                                  <w14:ligatures w14:val="standardContextual"/>
                                </w:rPr>
                                <w:t xml:space="preserve">*L’Association CSF vous offre 700 € pour votre projet immobilier pour toute souscription d’un prêt immobilier principal d’au moins 100 000 € par l’intermédiaire de CRÉSERFI pour le financement de l’acquisition d’un bien immobilier. Offre réservée aux adhérents du CSF, agents ou ayants droit d’un partenaire du CSF, signataire d’une convention de partenariat avec le CSF. Cette offre n’est pas cumulable avec une autre offre bonifiée par le CSF et ne s’applique que pour un seul prêt par foyer. Elle est valable en France métropolitaine, en Corse et dans les DOM. </w:t>
                              </w:r>
                            </w:p>
                            <w:p w14:paraId="360F944C" w14:textId="77777777" w:rsidR="004161F4" w:rsidRDefault="004161F4">
                              <w:pPr>
                                <w:autoSpaceDE w:val="0"/>
                                <w:autoSpaceDN w:val="0"/>
                                <w:rPr>
                                  <w:rFonts w:ascii="Arial" w:hAnsi="Arial" w:cs="Arial"/>
                                  <w:b/>
                                  <w:bCs/>
                                  <w:color w:val="999999"/>
                                  <w:kern w:val="2"/>
                                  <w:sz w:val="18"/>
                                  <w:szCs w:val="18"/>
                                  <w14:ligatures w14:val="standardContextual"/>
                                </w:rPr>
                              </w:pPr>
                            </w:p>
                            <w:p w14:paraId="0EB90ABE" w14:textId="77777777" w:rsidR="004161F4" w:rsidRDefault="004161F4">
                              <w:pPr>
                                <w:autoSpaceDE w:val="0"/>
                                <w:autoSpaceDN w:val="0"/>
                                <w:rPr>
                                  <w:rFonts w:ascii="Arial" w:hAnsi="Arial" w:cs="Arial"/>
                                  <w:b/>
                                  <w:bCs/>
                                  <w:color w:val="999999"/>
                                  <w:kern w:val="2"/>
                                  <w:sz w:val="18"/>
                                  <w:szCs w:val="18"/>
                                  <w14:ligatures w14:val="standardContextual"/>
                                </w:rPr>
                              </w:pPr>
                              <w:r>
                                <w:rPr>
                                  <w:rFonts w:ascii="Arial" w:hAnsi="Arial" w:cs="Arial"/>
                                  <w:b/>
                                  <w:bCs/>
                                  <w:color w:val="999999"/>
                                  <w:kern w:val="2"/>
                                  <w:sz w:val="18"/>
                                  <w:szCs w:val="18"/>
                                  <w14:ligatures w14:val="standardContextual"/>
                                </w:rPr>
                                <w:t xml:space="preserve">Pour bénéficier de cette offre, votre premier rendez-vous avec votre conseiller CRÉSERFI pour votre projet immobilier doit avoir lieu entre le 1er septembre et le 31 décembre 2025. Le déblocage des fonds du prêt immobilier principal doit intervenir avant le 15 mai 2026. Une fois les fonds débloqués, vous devez formuler votre demande de remboursement avant le 15 juin 2026 en remplissant un formulaire dont l’url et le flashcode sont communiqués sur le feuillet détaillant l’offre, qui est remis par votre conseiller CRÉSERFI au moment du rendez-vous. Seront remboursés les 70 premières demandes qui respectent les critères d’éligibilité mentionnés ci-dessus. Le remboursement sera effectué par virement sur le compte de prélèvement de </w:t>
                              </w:r>
                              <w:r>
                                <w:rPr>
                                  <w:rFonts w:ascii="Arial" w:hAnsi="Arial" w:cs="Arial"/>
                                  <w:b/>
                                  <w:bCs/>
                                  <w:color w:val="999999"/>
                                  <w:kern w:val="2"/>
                                  <w:sz w:val="18"/>
                                  <w:szCs w:val="18"/>
                                  <w14:ligatures w14:val="standardContextual"/>
                                </w:rPr>
                                <w:lastRenderedPageBreak/>
                                <w:t>l’adhésion au plus tard dans les 30 jours après l’enregistrement de votre demande sur le formulaire dédié."</w:t>
                              </w:r>
                            </w:p>
                            <w:p w14:paraId="6BDDDA69" w14:textId="77777777" w:rsidR="004161F4" w:rsidRDefault="004161F4">
                              <w:pPr>
                                <w:jc w:val="both"/>
                                <w:rPr>
                                  <w:rFonts w:ascii="Arial" w:hAnsi="Arial" w:cs="Arial"/>
                                  <w:color w:val="999999"/>
                                  <w:kern w:val="2"/>
                                  <w:sz w:val="18"/>
                                  <w:szCs w:val="18"/>
                                  <w14:ligatures w14:val="standardContextual"/>
                                </w:rPr>
                              </w:pPr>
                            </w:p>
                            <w:p w14:paraId="3910E19C" w14:textId="77777777" w:rsidR="004161F4" w:rsidRDefault="004161F4">
                              <w:pPr>
                                <w:jc w:val="both"/>
                                <w:rPr>
                                  <w:rFonts w:ascii="Arial" w:hAnsi="Arial" w:cs="Arial"/>
                                  <w:color w:val="999999"/>
                                  <w:kern w:val="2"/>
                                  <w:sz w:val="18"/>
                                  <w:szCs w:val="18"/>
                                  <w14:ligatures w14:val="standardContextual"/>
                                </w:rPr>
                              </w:pPr>
                              <w:r>
                                <w:rPr>
                                  <w:rFonts w:ascii="Arial" w:hAnsi="Arial" w:cs="Arial"/>
                                  <w:b/>
                                  <w:bCs/>
                                  <w:color w:val="999999"/>
                                  <w:kern w:val="2"/>
                                  <w:sz w:val="18"/>
                                  <w:szCs w:val="18"/>
                                  <w14:ligatures w14:val="standardContextual"/>
                                </w:rPr>
                                <w:t>Les propositions de crédit sont faites par CRÉSERFI, la société de financement du CSF</w:t>
                              </w:r>
                              <w:r>
                                <w:rPr>
                                  <w:rFonts w:ascii="Arial" w:hAnsi="Arial" w:cs="Arial"/>
                                  <w:color w:val="999999"/>
                                  <w:kern w:val="2"/>
                                  <w:sz w:val="18"/>
                                  <w:szCs w:val="18"/>
                                  <w14:ligatures w14:val="standardContextual"/>
                                </w:rPr>
                                <w:t xml:space="preserve"> (SA au capital de 56 406 136 € - RCS Paris B 303 477 319 - courtier d’assurances inscrit à l’ORIAS sous le n° 07 022 577 (</w:t>
                              </w:r>
                              <w:hyperlink r:id="rId16" w:history="1">
                                <w:r>
                                  <w:rPr>
                                    <w:rStyle w:val="Lienhypertexte"/>
                                    <w:rFonts w:ascii="Arial" w:hAnsi="Arial" w:cs="Arial"/>
                                    <w:kern w:val="2"/>
                                    <w:sz w:val="18"/>
                                    <w:szCs w:val="18"/>
                                    <w14:ligatures w14:val="standardContextual"/>
                                  </w:rPr>
                                  <w:t>www.orias.fr</w:t>
                                </w:r>
                              </w:hyperlink>
                              <w:r>
                                <w:rPr>
                                  <w:rFonts w:ascii="Arial" w:hAnsi="Arial" w:cs="Arial"/>
                                  <w:color w:val="999999"/>
                                  <w:kern w:val="2"/>
                                  <w:sz w:val="18"/>
                                  <w:szCs w:val="18"/>
                                  <w14:ligatures w14:val="standardContextual"/>
                                </w:rPr>
                                <w:t xml:space="preserve">) - Siège social : 9 rue du Faubourg Poissonnière 75009 Paris) </w:t>
                              </w:r>
                              <w:r>
                                <w:rPr>
                                  <w:rFonts w:ascii="Arial" w:hAnsi="Arial" w:cs="Arial"/>
                                  <w:b/>
                                  <w:bCs/>
                                  <w:color w:val="999999"/>
                                  <w:kern w:val="2"/>
                                  <w:sz w:val="18"/>
                                  <w:szCs w:val="18"/>
                                  <w14:ligatures w14:val="standardContextual"/>
                                </w:rPr>
                                <w:t>et ses partenaires prêteurs</w:t>
                              </w:r>
                              <w:r>
                                <w:rPr>
                                  <w:rFonts w:ascii="Arial" w:hAnsi="Arial" w:cs="Arial"/>
                                  <w:color w:val="999999"/>
                                  <w:kern w:val="2"/>
                                  <w:sz w:val="18"/>
                                  <w:szCs w:val="18"/>
                                  <w14:ligatures w14:val="standardContextual"/>
                                </w:rPr>
                                <w:t>. Elles sont sous réserve d’acceptation des partenaires prêteurs, après étude de la situation financière de l’emprunteur.</w:t>
                              </w:r>
                            </w:p>
                            <w:p w14:paraId="57ABF410" w14:textId="77777777" w:rsidR="004161F4" w:rsidRDefault="004161F4">
                              <w:pPr>
                                <w:jc w:val="both"/>
                                <w:rPr>
                                  <w:rFonts w:ascii="Arial" w:hAnsi="Arial" w:cs="Arial"/>
                                  <w:color w:val="999999"/>
                                  <w:kern w:val="2"/>
                                  <w:sz w:val="18"/>
                                  <w:szCs w:val="18"/>
                                  <w14:ligatures w14:val="standardContextual"/>
                                </w:rPr>
                              </w:pPr>
                            </w:p>
                            <w:p w14:paraId="7ABEF435" w14:textId="77777777" w:rsidR="004161F4" w:rsidRDefault="004161F4">
                              <w:pPr>
                                <w:jc w:val="both"/>
                                <w:rPr>
                                  <w:rFonts w:ascii="Arial" w:hAnsi="Arial" w:cs="Arial"/>
                                  <w:color w:val="999999"/>
                                  <w:kern w:val="2"/>
                                  <w:sz w:val="18"/>
                                  <w:szCs w:val="18"/>
                                  <w14:ligatures w14:val="standardContextual"/>
                                </w:rPr>
                              </w:pPr>
                              <w:r>
                                <w:rPr>
                                  <w:rFonts w:ascii="Arial" w:hAnsi="Arial" w:cs="Arial"/>
                                  <w:color w:val="999999"/>
                                  <w:kern w:val="2"/>
                                  <w:sz w:val="18"/>
                                  <w:szCs w:val="18"/>
                                  <w14:ligatures w14:val="standardContextual"/>
                                </w:rPr>
                                <w:t>Conformément à la loi, aucun versement de quelque nature que ce soit, ne peut être exigé d’un particulier avant l’obtention d’un ou plusieurs prêts d’argent. L’emprunteur d’un crédit immobilier dispose d’un délai de réflexion de 10 jours. La vente est subordonnée à l’obtention du prêt. S’il n’est pas obtenu, le vendeur doit rembourser les sommes perçues.</w:t>
                              </w:r>
                            </w:p>
                            <w:p w14:paraId="0AAB92C3" w14:textId="77777777" w:rsidR="004161F4" w:rsidRDefault="004161F4">
                              <w:pPr>
                                <w:jc w:val="both"/>
                                <w:rPr>
                                  <w:rFonts w:ascii="Arial" w:hAnsi="Arial" w:cs="Arial"/>
                                  <w:color w:val="999999"/>
                                  <w:kern w:val="2"/>
                                  <w:sz w:val="18"/>
                                  <w:szCs w:val="18"/>
                                  <w14:ligatures w14:val="standardContextual"/>
                                </w:rPr>
                              </w:pPr>
                            </w:p>
                            <w:p w14:paraId="7329FFE7" w14:textId="77777777" w:rsidR="004161F4" w:rsidRDefault="004161F4">
                              <w:pPr>
                                <w:jc w:val="both"/>
                                <w:rPr>
                                  <w:rFonts w:ascii="Arial" w:hAnsi="Arial" w:cs="Arial"/>
                                  <w:color w:val="999999"/>
                                  <w:kern w:val="2"/>
                                  <w:sz w:val="18"/>
                                  <w:szCs w:val="18"/>
                                  <w14:ligatures w14:val="standardContextual"/>
                                </w:rPr>
                              </w:pPr>
                              <w:r>
                                <w:rPr>
                                  <w:rFonts w:ascii="Arial" w:hAnsi="Arial" w:cs="Arial"/>
                                  <w:color w:val="999999"/>
                                  <w:kern w:val="2"/>
                                  <w:sz w:val="18"/>
                                  <w:szCs w:val="18"/>
                                  <w14:ligatures w14:val="standardContextual"/>
                                </w:rPr>
                                <w:t xml:space="preserve">CRÉSERFI intervient en qualité d’intermédiaire de crédit non exclusif de plusieurs établissements de crédit. Il apporte son concours à la réalisation d’opération de crédit, sans agir en qualité de prêteur. La liste complète des partenaires prêteurs de CRÉSERFI est consultable sur le site </w:t>
                              </w:r>
                              <w:hyperlink r:id="rId17" w:history="1">
                                <w:r>
                                  <w:rPr>
                                    <w:rStyle w:val="Lienhypertexte"/>
                                    <w:rFonts w:ascii="Arial" w:hAnsi="Arial" w:cs="Arial"/>
                                    <w:kern w:val="2"/>
                                    <w:sz w:val="18"/>
                                    <w:szCs w:val="18"/>
                                    <w14:ligatures w14:val="standardContextual"/>
                                  </w:rPr>
                                  <w:t>www.csf.fr</w:t>
                                </w:r>
                              </w:hyperlink>
                              <w:r>
                                <w:rPr>
                                  <w:rFonts w:ascii="Arial" w:hAnsi="Arial" w:cs="Arial"/>
                                  <w:color w:val="999999"/>
                                  <w:kern w:val="2"/>
                                  <w:sz w:val="18"/>
                                  <w:szCs w:val="18"/>
                                  <w14:ligatures w14:val="standardContextual"/>
                                </w:rPr>
                                <w:t>.</w:t>
                              </w:r>
                            </w:p>
                            <w:p w14:paraId="2D4B428C" w14:textId="77777777" w:rsidR="004161F4" w:rsidRDefault="004161F4">
                              <w:pPr>
                                <w:jc w:val="both"/>
                                <w:rPr>
                                  <w:rFonts w:ascii="Arial" w:hAnsi="Arial" w:cs="Arial"/>
                                  <w:color w:val="999999"/>
                                  <w:kern w:val="2"/>
                                  <w:sz w:val="18"/>
                                  <w:szCs w:val="18"/>
                                  <w14:ligatures w14:val="standardContextual"/>
                                </w:rPr>
                              </w:pPr>
                            </w:p>
                            <w:p w14:paraId="3B44B1A0" w14:textId="77777777" w:rsidR="004161F4" w:rsidRDefault="004161F4">
                              <w:pPr>
                                <w:jc w:val="both"/>
                                <w:rPr>
                                  <w:rFonts w:ascii="Arial" w:hAnsi="Arial" w:cs="Arial"/>
                                  <w:color w:val="999999"/>
                                  <w:kern w:val="2"/>
                                  <w:sz w:val="18"/>
                                  <w:szCs w:val="18"/>
                                  <w14:ligatures w14:val="standardContextual"/>
                                </w:rPr>
                              </w:pPr>
                              <w:r>
                                <w:rPr>
                                  <w:rFonts w:ascii="Arial" w:hAnsi="Arial" w:cs="Arial"/>
                                  <w:b/>
                                  <w:bCs/>
                                  <w:color w:val="999999"/>
                                  <w:kern w:val="2"/>
                                  <w:sz w:val="18"/>
                                  <w:szCs w:val="18"/>
                                  <w14:ligatures w14:val="standardContextual"/>
                                </w:rPr>
                                <w:t xml:space="preserve">Le Crédit Social des Fonctionnaires est une association loi </w:t>
                              </w:r>
                              <w:r>
                                <w:rPr>
                                  <w:rFonts w:ascii="Arial" w:hAnsi="Arial" w:cs="Arial"/>
                                  <w:color w:val="999999"/>
                                  <w:kern w:val="2"/>
                                  <w:sz w:val="18"/>
                                  <w:szCs w:val="18"/>
                                  <w14:ligatures w14:val="standardContextual"/>
                                </w:rPr>
                                <w:t xml:space="preserve">1901, siège social : 9 rue du Faubourg Poissonnière 75313 Paris cedex 09. Pour adhérer au CSF et profiter de tous les services et avantages sélectionnés pour vous, il suffit d’acquitter une adhésion annuelle (tarifs en vigueur consultables sur le </w:t>
                              </w:r>
                              <w:hyperlink r:id="rId18" w:history="1">
                                <w:r>
                                  <w:rPr>
                                    <w:rStyle w:val="Lienhypertexte"/>
                                    <w:rFonts w:ascii="Arial" w:hAnsi="Arial" w:cs="Arial"/>
                                    <w:kern w:val="2"/>
                                    <w:sz w:val="18"/>
                                    <w:szCs w:val="18"/>
                                    <w14:ligatures w14:val="standardContextual"/>
                                  </w:rPr>
                                  <w:t>www.csf.fr</w:t>
                                </w:r>
                              </w:hyperlink>
                              <w:r>
                                <w:rPr>
                                  <w:rFonts w:ascii="Arial" w:hAnsi="Arial" w:cs="Arial"/>
                                  <w:color w:val="999999"/>
                                  <w:kern w:val="2"/>
                                  <w:sz w:val="18"/>
                                  <w:szCs w:val="18"/>
                                  <w14:ligatures w14:val="standardContextual"/>
                                </w:rPr>
                                <w:t>).</w:t>
                              </w:r>
                            </w:p>
                            <w:p w14:paraId="555F2CE0" w14:textId="77777777" w:rsidR="004161F4" w:rsidRDefault="004161F4">
                              <w:pPr>
                                <w:jc w:val="both"/>
                                <w:rPr>
                                  <w:rFonts w:ascii="Arial" w:hAnsi="Arial" w:cs="Arial"/>
                                  <w:color w:val="999999"/>
                                  <w:kern w:val="2"/>
                                  <w:sz w:val="18"/>
                                  <w:szCs w:val="18"/>
                                  <w14:ligatures w14:val="standardContextual"/>
                                </w:rPr>
                              </w:pPr>
                            </w:p>
                            <w:p w14:paraId="3F4980D7" w14:textId="77777777" w:rsidR="004161F4" w:rsidRDefault="004161F4">
                              <w:pPr>
                                <w:jc w:val="both"/>
                                <w:rPr>
                                  <w:rFonts w:ascii="Arial" w:hAnsi="Arial" w:cs="Arial"/>
                                  <w:color w:val="999999"/>
                                  <w:kern w:val="2"/>
                                  <w:sz w:val="18"/>
                                  <w:szCs w:val="18"/>
                                  <w14:ligatures w14:val="standardContextual"/>
                                </w:rPr>
                              </w:pPr>
                              <w:r>
                                <w:rPr>
                                  <w:rFonts w:ascii="Arial" w:hAnsi="Arial" w:cs="Arial"/>
                                  <w:b/>
                                  <w:bCs/>
                                  <w:color w:val="999999"/>
                                  <w:kern w:val="2"/>
                                  <w:sz w:val="18"/>
                                  <w:szCs w:val="18"/>
                                  <w14:ligatures w14:val="standardContextual"/>
                                </w:rPr>
                                <w:t>Les offres d’assurance et d’épargne sont distribuées par CSF Assurances</w:t>
                              </w:r>
                              <w:r>
                                <w:rPr>
                                  <w:rFonts w:ascii="Arial" w:hAnsi="Arial" w:cs="Arial"/>
                                  <w:color w:val="999999"/>
                                  <w:kern w:val="2"/>
                                  <w:sz w:val="18"/>
                                  <w:szCs w:val="18"/>
                                  <w14:ligatures w14:val="standardContextual"/>
                                </w:rPr>
                                <w:t xml:space="preserve"> - SARL de courtage d’assurances au capital de 8 500 000 € - RCS Paris 322 950 148 - Siège social : 9 rue du Fg. Poissonnière 75009 Paris. Enregistrée à l’ORIAS sous le n° 07 008 834 (</w:t>
                              </w:r>
                              <w:hyperlink r:id="rId19" w:history="1">
                                <w:r>
                                  <w:rPr>
                                    <w:rStyle w:val="Lienhypertexte"/>
                                    <w:rFonts w:ascii="Arial" w:hAnsi="Arial" w:cs="Arial"/>
                                    <w:kern w:val="2"/>
                                    <w:sz w:val="18"/>
                                    <w:szCs w:val="18"/>
                                    <w14:ligatures w14:val="standardContextual"/>
                                  </w:rPr>
                                  <w:t>www.orias.fr</w:t>
                                </w:r>
                              </w:hyperlink>
                              <w:r>
                                <w:rPr>
                                  <w:rFonts w:ascii="Arial" w:hAnsi="Arial" w:cs="Arial"/>
                                  <w:color w:val="999999"/>
                                  <w:kern w:val="2"/>
                                  <w:sz w:val="18"/>
                                  <w:szCs w:val="18"/>
                                  <w14:ligatures w14:val="standardContextual"/>
                                </w:rPr>
                                <w:t xml:space="preserve">) en qualité de courtier d’assurance ou de réassurance (COA). Intermédiaire en transactions Immobilières et fonds de commerce sans détention de fonds : Carte N° CPI 75012022000000012 délivrée par la CCI de Paris Île-de-France. Responsabilité Civile Professionnelle : police FN4608 et Garantie Financière : police n° RPI10147372 souscrites auprès de CNA </w:t>
                              </w:r>
                              <w:proofErr w:type="spellStart"/>
                              <w:r>
                                <w:rPr>
                                  <w:rFonts w:ascii="Arial" w:hAnsi="Arial" w:cs="Arial"/>
                                  <w:color w:val="999999"/>
                                  <w:kern w:val="2"/>
                                  <w:sz w:val="18"/>
                                  <w:szCs w:val="18"/>
                                  <w14:ligatures w14:val="standardContextual"/>
                                </w:rPr>
                                <w:t>Insurance</w:t>
                              </w:r>
                              <w:proofErr w:type="spellEnd"/>
                              <w:r>
                                <w:rPr>
                                  <w:rFonts w:ascii="Arial" w:hAnsi="Arial" w:cs="Arial"/>
                                  <w:color w:val="999999"/>
                                  <w:kern w:val="2"/>
                                  <w:sz w:val="18"/>
                                  <w:szCs w:val="18"/>
                                  <w14:ligatures w14:val="standardContextual"/>
                                </w:rPr>
                                <w:t xml:space="preserve"> </w:t>
                              </w:r>
                              <w:proofErr w:type="spellStart"/>
                              <w:r>
                                <w:rPr>
                                  <w:rFonts w:ascii="Arial" w:hAnsi="Arial" w:cs="Arial"/>
                                  <w:color w:val="999999"/>
                                  <w:kern w:val="2"/>
                                  <w:sz w:val="18"/>
                                  <w:szCs w:val="18"/>
                                  <w14:ligatures w14:val="standardContextual"/>
                                </w:rPr>
                                <w:t>Company</w:t>
                              </w:r>
                              <w:proofErr w:type="spellEnd"/>
                              <w:r>
                                <w:rPr>
                                  <w:rFonts w:ascii="Arial" w:hAnsi="Arial" w:cs="Arial"/>
                                  <w:color w:val="999999"/>
                                  <w:kern w:val="2"/>
                                  <w:sz w:val="18"/>
                                  <w:szCs w:val="18"/>
                                  <w14:ligatures w14:val="standardContextual"/>
                                </w:rPr>
                                <w:t xml:space="preserve"> (Europe) S.A. conformément aux exigences réglementaires du Code des Assurances et de la loi Hoguet.</w:t>
                              </w:r>
                            </w:p>
                            <w:p w14:paraId="01E08E6D" w14:textId="77777777" w:rsidR="004161F4" w:rsidRDefault="004161F4">
                              <w:pPr>
                                <w:jc w:val="both"/>
                                <w:rPr>
                                  <w:rFonts w:ascii="Arial" w:hAnsi="Arial" w:cs="Arial"/>
                                  <w:color w:val="999999"/>
                                  <w:kern w:val="2"/>
                                  <w:sz w:val="18"/>
                                  <w:szCs w:val="18"/>
                                  <w14:ligatures w14:val="standardContextual"/>
                                </w:rPr>
                              </w:pPr>
                            </w:p>
                            <w:p w14:paraId="1EC4A8AB" w14:textId="77777777" w:rsidR="004161F4" w:rsidRDefault="004161F4">
                              <w:pPr>
                                <w:jc w:val="both"/>
                                <w:rPr>
                                  <w:rFonts w:ascii="Arial" w:hAnsi="Arial" w:cs="Arial"/>
                                  <w:b/>
                                  <w:bCs/>
                                  <w:color w:val="999999"/>
                                  <w:kern w:val="2"/>
                                  <w:sz w:val="18"/>
                                  <w:szCs w:val="18"/>
                                  <w14:ligatures w14:val="standardContextual"/>
                                </w:rPr>
                              </w:pPr>
                              <w:r>
                                <w:rPr>
                                  <w:rFonts w:ascii="Arial" w:hAnsi="Arial" w:cs="Arial"/>
                                  <w:b/>
                                  <w:bCs/>
                                  <w:color w:val="999999"/>
                                  <w:kern w:val="2"/>
                                  <w:sz w:val="18"/>
                                  <w:szCs w:val="18"/>
                                  <w14:ligatures w14:val="standardContextual"/>
                                </w:rPr>
                                <w:t xml:space="preserve">Les informations collectées par le groupe CSF sont traitées afin de piloter notre relation commerciale avec vous. Ce traitement est basé sur l’intérêt légitime du groupe CSF. Ces informations sont conservées pendant trois ans à date du dernier contact commercial que vous avez eu avec nous. Pour plus d’informations concernant le traitement de vos données à caractère personnel, vous pouvez vous rendre dans la rubrique « mentions légales » sur le site </w:t>
                              </w:r>
                              <w:hyperlink r:id="rId20" w:history="1">
                                <w:r>
                                  <w:rPr>
                                    <w:rStyle w:val="Lienhypertexte"/>
                                    <w:rFonts w:ascii="Arial" w:hAnsi="Arial" w:cs="Arial"/>
                                    <w:b/>
                                    <w:bCs/>
                                    <w:kern w:val="2"/>
                                    <w:sz w:val="18"/>
                                    <w:szCs w:val="18"/>
                                    <w14:ligatures w14:val="standardContextual"/>
                                  </w:rPr>
                                  <w:t>www.csf.fr</w:t>
                                </w:r>
                              </w:hyperlink>
                              <w:r>
                                <w:rPr>
                                  <w:rFonts w:ascii="Arial" w:hAnsi="Arial" w:cs="Arial"/>
                                  <w:b/>
                                  <w:bCs/>
                                  <w:color w:val="999999"/>
                                  <w:kern w:val="2"/>
                                  <w:sz w:val="18"/>
                                  <w:szCs w:val="18"/>
                                  <w14:ligatures w14:val="standardContextual"/>
                                </w:rPr>
                                <w:t>.</w:t>
                              </w:r>
                            </w:p>
                            <w:p w14:paraId="79875D05" w14:textId="77777777" w:rsidR="004161F4" w:rsidRDefault="004161F4">
                              <w:pPr>
                                <w:jc w:val="both"/>
                                <w:rPr>
                                  <w:rFonts w:ascii="Arial" w:hAnsi="Arial" w:cs="Arial"/>
                                  <w:b/>
                                  <w:bCs/>
                                  <w:color w:val="999999"/>
                                  <w:kern w:val="2"/>
                                  <w:sz w:val="18"/>
                                  <w:szCs w:val="18"/>
                                  <w14:ligatures w14:val="standardContextual"/>
                                </w:rPr>
                              </w:pPr>
                            </w:p>
                            <w:p w14:paraId="590882CC" w14:textId="77777777" w:rsidR="004161F4" w:rsidRDefault="004161F4">
                              <w:pPr>
                                <w:jc w:val="both"/>
                                <w:rPr>
                                  <w:rFonts w:ascii="Arial" w:hAnsi="Arial" w:cs="Arial"/>
                                  <w:b/>
                                  <w:bCs/>
                                  <w:color w:val="999999"/>
                                  <w:kern w:val="2"/>
                                  <w:sz w:val="18"/>
                                  <w:szCs w:val="18"/>
                                  <w14:ligatures w14:val="standardContextual"/>
                                </w:rPr>
                              </w:pPr>
                              <w:r>
                                <w:rPr>
                                  <w:rFonts w:ascii="Arial" w:hAnsi="Arial" w:cs="Arial"/>
                                  <w:b/>
                                  <w:bCs/>
                                  <w:color w:val="999999"/>
                                  <w:kern w:val="2"/>
                                  <w:sz w:val="18"/>
                                  <w:szCs w:val="18"/>
                                  <w14:ligatures w14:val="standardContextual"/>
                                </w:rPr>
                                <w:t xml:space="preserve">Conformément à la loi n°78-17 modifiée du 6 janvier 1978 relative à l’informatique, aux fichiers et aux libertés (dite « Loi Informatique et liberté ») et au Règlement (UE) 2016/679 relatif à la protection des données à caractère personnel, vous disposez d’un droit d’accès, de rectification, à l’effacement (droit à l’oubli), d’opposition, à la limitation, à la portabilité, ainsi que de définir des directives sur vos données à caractère personnel après votre décès. Pour exercer vos droits, vous pouvez écrire à DPO - Groupe CSF - 9, rue du Faubourg Poissonnière 75313 Paris Cedex 9, ou bien : </w:t>
                              </w:r>
                              <w:hyperlink r:id="rId21" w:history="1">
                                <w:r>
                                  <w:rPr>
                                    <w:rStyle w:val="Lienhypertexte"/>
                                    <w:rFonts w:ascii="Arial" w:hAnsi="Arial" w:cs="Arial"/>
                                    <w:b/>
                                    <w:bCs/>
                                    <w:kern w:val="2"/>
                                    <w:sz w:val="18"/>
                                    <w:szCs w:val="18"/>
                                    <w14:ligatures w14:val="standardContextual"/>
                                  </w:rPr>
                                  <w:t>DPO-Groupe-CSF@csf.fr</w:t>
                                </w:r>
                              </w:hyperlink>
                              <w:r>
                                <w:rPr>
                                  <w:rFonts w:ascii="Arial" w:hAnsi="Arial" w:cs="Arial"/>
                                  <w:b/>
                                  <w:bCs/>
                                  <w:color w:val="999999"/>
                                  <w:kern w:val="2"/>
                                  <w:sz w:val="18"/>
                                  <w:szCs w:val="18"/>
                                  <w14:ligatures w14:val="standardContextual"/>
                                </w:rPr>
                                <w:t xml:space="preserve"> ou encore en vous connectant à l’espace Mon Compte sur le site </w:t>
                              </w:r>
                              <w:hyperlink r:id="rId22" w:history="1">
                                <w:r>
                                  <w:rPr>
                                    <w:rStyle w:val="Lienhypertexte"/>
                                    <w:rFonts w:ascii="Arial" w:hAnsi="Arial" w:cs="Arial"/>
                                    <w:b/>
                                    <w:bCs/>
                                    <w:kern w:val="2"/>
                                    <w:sz w:val="18"/>
                                    <w:szCs w:val="18"/>
                                    <w14:ligatures w14:val="standardContextual"/>
                                  </w:rPr>
                                  <w:t>www.csf.fr</w:t>
                                </w:r>
                              </w:hyperlink>
                              <w:r>
                                <w:rPr>
                                  <w:rFonts w:ascii="Arial" w:hAnsi="Arial" w:cs="Arial"/>
                                  <w:b/>
                                  <w:bCs/>
                                  <w:color w:val="999999"/>
                                  <w:kern w:val="2"/>
                                  <w:sz w:val="18"/>
                                  <w:szCs w:val="18"/>
                                  <w14:ligatures w14:val="standardContextual"/>
                                </w:rPr>
                                <w:t xml:space="preserve">. En cas de manquement aux dispositions ci-dessus, vous avez le droit d’introduire une réclamation auprès de la CNIL. Par notre intermédiaire, vous pouvez être amené à recevoir des propositions et des publicités des Sociétés du Groupe CSF, filiales et partenaires par courrier, </w:t>
                              </w:r>
                              <w:proofErr w:type="gramStart"/>
                              <w:r>
                                <w:rPr>
                                  <w:rFonts w:ascii="Arial" w:hAnsi="Arial" w:cs="Arial"/>
                                  <w:b/>
                                  <w:bCs/>
                                  <w:color w:val="999999"/>
                                  <w:kern w:val="2"/>
                                  <w:sz w:val="18"/>
                                  <w:szCs w:val="18"/>
                                  <w14:ligatures w14:val="standardContextual"/>
                                </w:rPr>
                                <w:t>e-mail</w:t>
                              </w:r>
                              <w:proofErr w:type="gramEnd"/>
                              <w:r>
                                <w:rPr>
                                  <w:rFonts w:ascii="Arial" w:hAnsi="Arial" w:cs="Arial"/>
                                  <w:b/>
                                  <w:bCs/>
                                  <w:color w:val="999999"/>
                                  <w:kern w:val="2"/>
                                  <w:sz w:val="18"/>
                                  <w:szCs w:val="18"/>
                                  <w14:ligatures w14:val="standardContextual"/>
                                </w:rPr>
                                <w:t xml:space="preserve">, SMS ou MMS. Si vous ne le souhaitez pas, vous pouvez vous </w:t>
                              </w:r>
                              <w:hyperlink r:id="rId23" w:tgtFrame="_blank" w:history="1">
                                <w:r>
                                  <w:rPr>
                                    <w:rStyle w:val="Lienhypertexte"/>
                                    <w:rFonts w:ascii="Arial" w:hAnsi="Arial" w:cs="Arial"/>
                                    <w:b/>
                                    <w:bCs/>
                                    <w:color w:val="999999"/>
                                    <w:kern w:val="2"/>
                                    <w:sz w:val="18"/>
                                    <w:szCs w:val="18"/>
                                    <w14:ligatures w14:val="standardContextual"/>
                                  </w:rPr>
                                  <w:t>désinscrire</w:t>
                                </w:r>
                              </w:hyperlink>
                              <w:r>
                                <w:rPr>
                                  <w:rFonts w:ascii="Arial" w:hAnsi="Arial" w:cs="Arial"/>
                                  <w:b/>
                                  <w:bCs/>
                                  <w:color w:val="999999"/>
                                  <w:kern w:val="2"/>
                                  <w:sz w:val="18"/>
                                  <w:szCs w:val="18"/>
                                  <w14:ligatures w14:val="standardContextual"/>
                                </w:rPr>
                                <w:t xml:space="preserve"> de nos communications.</w:t>
                              </w:r>
                            </w:p>
                            <w:p w14:paraId="368EC139" w14:textId="77777777" w:rsidR="004161F4" w:rsidRDefault="004161F4">
                              <w:pPr>
                                <w:jc w:val="both"/>
                                <w:rPr>
                                  <w:rFonts w:ascii="Arial" w:hAnsi="Arial" w:cs="Arial"/>
                                  <w:b/>
                                  <w:bCs/>
                                  <w:color w:val="999999"/>
                                  <w:kern w:val="2"/>
                                  <w:sz w:val="16"/>
                                  <w:szCs w:val="16"/>
                                  <w14:ligatures w14:val="standardContextual"/>
                                </w:rPr>
                              </w:pPr>
                            </w:p>
                            <w:p w14:paraId="1D977DE1" w14:textId="77777777" w:rsidR="004161F4" w:rsidRDefault="004161F4">
                              <w:pPr>
                                <w:jc w:val="both"/>
                                <w:rPr>
                                  <w:rFonts w:ascii="Arial" w:hAnsi="Arial" w:cs="Arial"/>
                                  <w:color w:val="999999"/>
                                  <w:kern w:val="2"/>
                                  <w:sz w:val="16"/>
                                  <w:szCs w:val="16"/>
                                  <w14:ligatures w14:val="standardContextual"/>
                                </w:rPr>
                              </w:pPr>
                            </w:p>
                            <w:p w14:paraId="57C4CFDE" w14:textId="77777777" w:rsidR="004161F4" w:rsidRDefault="004161F4">
                              <w:pPr>
                                <w:jc w:val="both"/>
                                <w:rPr>
                                  <w:rFonts w:ascii="Arial" w:hAnsi="Arial" w:cs="Arial"/>
                                  <w:b/>
                                  <w:bCs/>
                                  <w:color w:val="999999"/>
                                  <w:kern w:val="2"/>
                                  <w:sz w:val="16"/>
                                  <w:szCs w:val="16"/>
                                  <w14:ligatures w14:val="standardContextual"/>
                                </w:rPr>
                              </w:pPr>
                            </w:p>
                            <w:p w14:paraId="34675B27" w14:textId="77777777" w:rsidR="004161F4" w:rsidRDefault="004161F4">
                              <w:pPr>
                                <w:jc w:val="both"/>
                                <w:rPr>
                                  <w:rFonts w:ascii="Arial" w:hAnsi="Arial" w:cs="Arial"/>
                                  <w:b/>
                                  <w:bCs/>
                                  <w:color w:val="999999"/>
                                  <w:kern w:val="2"/>
                                  <w:sz w:val="16"/>
                                  <w:szCs w:val="16"/>
                                  <w14:ligatures w14:val="standardContextual"/>
                                </w:rPr>
                              </w:pPr>
                            </w:p>
                          </w:tc>
                        </w:tr>
                      </w:tbl>
                      <w:p w14:paraId="10DB2CEB" w14:textId="77777777" w:rsidR="004161F4" w:rsidRDefault="004161F4">
                        <w:pPr>
                          <w:rPr>
                            <w:rFonts w:asciiTheme="minorHAnsi" w:hAnsiTheme="minorHAnsi" w:cstheme="minorBidi"/>
                            <w:kern w:val="2"/>
                            <w14:ligatures w14:val="standardContextual"/>
                          </w:rPr>
                        </w:pPr>
                      </w:p>
                    </w:tc>
                  </w:tr>
                </w:tbl>
                <w:p w14:paraId="77A96716" w14:textId="77777777" w:rsidR="004161F4" w:rsidRDefault="004161F4">
                  <w:pPr>
                    <w:rPr>
                      <w:rFonts w:asciiTheme="minorHAnsi" w:hAnsiTheme="minorHAnsi" w:cstheme="minorBidi"/>
                      <w:kern w:val="2"/>
                      <w14:ligatures w14:val="standardContextual"/>
                    </w:rPr>
                  </w:pPr>
                </w:p>
              </w:tc>
            </w:tr>
          </w:tbl>
          <w:p w14:paraId="3A1E01DC" w14:textId="77777777" w:rsidR="004161F4" w:rsidRDefault="004161F4">
            <w:pPr>
              <w:rPr>
                <w:rFonts w:asciiTheme="minorHAnsi" w:hAnsiTheme="minorHAnsi" w:cstheme="minorBidi"/>
                <w:kern w:val="2"/>
                <w14:ligatures w14:val="standardContextual"/>
              </w:rPr>
            </w:pPr>
          </w:p>
        </w:tc>
      </w:tr>
    </w:tbl>
    <w:p w14:paraId="4D1E37A9" w14:textId="77777777" w:rsidR="004161F4" w:rsidRDefault="004161F4" w:rsidP="004161F4">
      <w:pPr>
        <w:rPr>
          <w:rFonts w:eastAsiaTheme="minorEastAsia"/>
          <w:noProof/>
          <w:lang w:eastAsia="fr-FR"/>
        </w:rPr>
      </w:pPr>
    </w:p>
    <w:p w14:paraId="1B4A308E" w14:textId="77777777" w:rsidR="004161F4" w:rsidRDefault="004161F4" w:rsidP="004161F4">
      <w:pPr>
        <w:rPr>
          <w:rFonts w:eastAsiaTheme="minorEastAsia"/>
          <w:noProof/>
          <w:lang w:eastAsia="fr-FR"/>
        </w:rPr>
      </w:pPr>
    </w:p>
    <w:p w14:paraId="0835691E" w14:textId="77777777" w:rsidR="004161F4" w:rsidRDefault="004161F4" w:rsidP="004161F4">
      <w:pPr>
        <w:rPr>
          <w:rFonts w:eastAsiaTheme="minorEastAsia"/>
          <w:noProof/>
          <w:lang w:eastAsia="fr-FR"/>
        </w:rPr>
      </w:pPr>
    </w:p>
    <w:p w14:paraId="040E59DA" w14:textId="77777777" w:rsidR="004161F4" w:rsidRDefault="004161F4" w:rsidP="004161F4">
      <w:pPr>
        <w:rPr>
          <w:rFonts w:eastAsiaTheme="minorEastAsia"/>
          <w:noProof/>
          <w:lang w:eastAsia="fr-FR"/>
        </w:rPr>
      </w:pPr>
    </w:p>
    <w:bookmarkEnd w:id="0"/>
    <w:p w14:paraId="3599AB48" w14:textId="77777777" w:rsidR="004161F4" w:rsidRDefault="004161F4" w:rsidP="004161F4"/>
    <w:p w14:paraId="572F943F" w14:textId="631F5C9D" w:rsidR="0060568C" w:rsidRPr="004161F4" w:rsidRDefault="0060568C" w:rsidP="004161F4"/>
    <w:sectPr w:rsidR="0060568C" w:rsidRPr="00416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dobe Clean DC">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C3127"/>
    <w:multiLevelType w:val="hybridMultilevel"/>
    <w:tmpl w:val="FED4B9E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39A4087F"/>
    <w:multiLevelType w:val="hybridMultilevel"/>
    <w:tmpl w:val="1E66A766"/>
    <w:lvl w:ilvl="0" w:tplc="040C0005">
      <w:start w:val="1"/>
      <w:numFmt w:val="bullet"/>
      <w:lvlText w:val=""/>
      <w:lvlJc w:val="left"/>
      <w:pPr>
        <w:ind w:left="643" w:hanging="360"/>
      </w:pPr>
      <w:rPr>
        <w:rFonts w:ascii="Wingdings" w:hAnsi="Wingdings" w:hint="default"/>
        <w:color w:val="005DA8"/>
        <w14:textFill>
          <w14:solidFill>
            <w14:srgbClr w14:val="000000"/>
          </w14:solidFill>
        </w14:textFill>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641032749">
    <w:abstractNumId w:val="0"/>
    <w:lvlOverride w:ilvl="0"/>
    <w:lvlOverride w:ilvl="1"/>
    <w:lvlOverride w:ilvl="2"/>
    <w:lvlOverride w:ilvl="3"/>
    <w:lvlOverride w:ilvl="4"/>
    <w:lvlOverride w:ilvl="5"/>
    <w:lvlOverride w:ilvl="6"/>
    <w:lvlOverride w:ilvl="7"/>
    <w:lvlOverride w:ilvl="8"/>
  </w:num>
  <w:num w:numId="2" w16cid:durableId="179509889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1F4"/>
    <w:rsid w:val="002B6267"/>
    <w:rsid w:val="004161F4"/>
    <w:rsid w:val="006056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8767C"/>
  <w15:chartTrackingRefBased/>
  <w15:docId w15:val="{5B16A0D2-8136-43C4-81C3-E4A01AC8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1F4"/>
    <w:pPr>
      <w:spacing w:after="0" w:line="240" w:lineRule="auto"/>
    </w:pPr>
    <w:rPr>
      <w:rFonts w:ascii="Calibri" w:hAnsi="Calibri" w:cs="Calibri"/>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4161F4"/>
    <w:rPr>
      <w:i/>
      <w:iCs/>
    </w:rPr>
  </w:style>
  <w:style w:type="character" w:styleId="Lienhypertexte">
    <w:name w:val="Hyperlink"/>
    <w:basedOn w:val="Policepardfaut"/>
    <w:uiPriority w:val="99"/>
    <w:semiHidden/>
    <w:unhideWhenUsed/>
    <w:rsid w:val="004161F4"/>
    <w:rPr>
      <w:color w:val="0563C1" w:themeColor="hyperlink"/>
      <w:u w:val="single"/>
    </w:rPr>
  </w:style>
  <w:style w:type="paragraph" w:styleId="NormalWeb">
    <w:name w:val="Normal (Web)"/>
    <w:basedOn w:val="Normal"/>
    <w:uiPriority w:val="99"/>
    <w:semiHidden/>
    <w:unhideWhenUsed/>
    <w:rsid w:val="004161F4"/>
    <w:pPr>
      <w:spacing w:before="100" w:beforeAutospacing="1" w:after="100" w:afterAutospacing="1"/>
    </w:pPr>
    <w:rPr>
      <w:lang w:eastAsia="fr-FR"/>
    </w:rPr>
  </w:style>
  <w:style w:type="paragraph" w:styleId="Paragraphedeliste">
    <w:name w:val="List Paragraph"/>
    <w:basedOn w:val="Normal"/>
    <w:uiPriority w:val="34"/>
    <w:qFormat/>
    <w:rsid w:val="004161F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9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f.fr/immobilier/prendre-un-rendez-vous?idCampagne=701Sb00000LAWTzIAP" TargetMode="External"/><Relationship Id="rId13" Type="http://schemas.openxmlformats.org/officeDocument/2006/relationships/hyperlink" Target="mailto:nom@csf.fr" TargetMode="External"/><Relationship Id="rId18" Type="http://schemas.openxmlformats.org/officeDocument/2006/relationships/hyperlink" Target="http://www.csf.fr" TargetMode="External"/><Relationship Id="rId3" Type="http://schemas.openxmlformats.org/officeDocument/2006/relationships/settings" Target="settings.xml"/><Relationship Id="rId21" Type="http://schemas.openxmlformats.org/officeDocument/2006/relationships/hyperlink" Target="mailto:DPO-Groupe-CSF@csf.fr" TargetMode="External"/><Relationship Id="rId7" Type="http://schemas.openxmlformats.org/officeDocument/2006/relationships/image" Target="cid:image001.jpg@01DC15D1.DC75AD40" TargetMode="External"/><Relationship Id="rId12" Type="http://schemas.openxmlformats.org/officeDocument/2006/relationships/hyperlink" Target="mailto:nom@csf.fr" TargetMode="External"/><Relationship Id="rId17" Type="http://schemas.openxmlformats.org/officeDocument/2006/relationships/hyperlink" Target="http://www.csf.f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orias.fr" TargetMode="External"/><Relationship Id="rId20" Type="http://schemas.openxmlformats.org/officeDocument/2006/relationships/hyperlink" Target="http://www.csf.fr"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nom@csf.fr" TargetMode="External"/><Relationship Id="rId24" Type="http://schemas.openxmlformats.org/officeDocument/2006/relationships/fontTable" Target="fontTable.xml"/><Relationship Id="rId5" Type="http://schemas.openxmlformats.org/officeDocument/2006/relationships/hyperlink" Target="http://www.csf.fr/" TargetMode="External"/><Relationship Id="rId15" Type="http://schemas.openxmlformats.org/officeDocument/2006/relationships/hyperlink" Target="mailto:nom@csf.fr" TargetMode="External"/><Relationship Id="rId23" Type="http://schemas.openxmlformats.org/officeDocument/2006/relationships/hyperlink" Target="https://email.csf.fr/unsubscribeConfirm/700443" TargetMode="External"/><Relationship Id="rId10" Type="http://schemas.openxmlformats.org/officeDocument/2006/relationships/hyperlink" Target="mailto:nom@csf.fr" TargetMode="External"/><Relationship Id="rId19" Type="http://schemas.openxmlformats.org/officeDocument/2006/relationships/hyperlink" Target="http://www.orias.f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nom@csf.fr" TargetMode="External"/><Relationship Id="rId22" Type="http://schemas.openxmlformats.org/officeDocument/2006/relationships/hyperlink" Target="http://www.csf.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1624</Words>
  <Characters>8936</Characters>
  <Application>Microsoft Office Word</Application>
  <DocSecurity>0</DocSecurity>
  <Lines>74</Lines>
  <Paragraphs>21</Paragraphs>
  <ScaleCrop>false</ScaleCrop>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Andrade Emilie</dc:creator>
  <cp:keywords/>
  <dc:description/>
  <cp:lastModifiedBy>De Andrade Emilie</cp:lastModifiedBy>
  <cp:revision>1</cp:revision>
  <dcterms:created xsi:type="dcterms:W3CDTF">2025-09-02T07:00:00Z</dcterms:created>
  <dcterms:modified xsi:type="dcterms:W3CDTF">2025-09-02T07:01:00Z</dcterms:modified>
</cp:coreProperties>
</file>